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bidi w:val="false"/>
        <w:spacing w:after="0" w:before="0" w:line="240" w:lineRule="auto"/>
        <w:ind w:right="0" w:firstLine="709" w:left="0"/>
        <w:jc w:val="left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628650" cy="609600"/>
                <wp:effectExtent l="0" t="0" r="0" b="0"/>
                <wp:wrapSquare wrapText="bothSides"/>
                <wp:docPr id="1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>
                        <a:blip r:embed="rId9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2743200" y="0"/>
                          <a:ext cx="62865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1312;o:allowoverlap:true;o:allowincell:true;mso-position-horizontal-relative:text;margin-left:216.00pt;mso-position-horizontal:absolute;mso-position-vertical-relative:text;margin-top:0.00pt;mso-position-vertical:absolute;width:49.50pt;height:48.00pt;mso-wrap-distance-left:9.00pt;mso-wrap-distance-top:0.00pt;mso-wrap-distance-right:9.00pt;mso-wrap-distance-bottom:0.00pt;z-index:1;" stroked="false">
                <w10:wrap type="square"/>
                <v:imagedata r:id="rId9" o:title="" croptop="0f" cropleft="0f" cropbottom="0f" cropright="0f"/>
                <o:lock v:ext="edit" rotation="t"/>
              </v:shape>
            </w:pict>
          </mc:Fallback>
        </mc:AlternateContent>
      </w:r>
    </w:p>
    <w:p>
      <w:pPr>
        <w:bidi w:val="false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  <w:t xml:space="preserve">АДМИНИСТРАЦИЯ ГОРОДА НОВОАЛТАЙСКА</w:t>
      </w:r>
    </w:p>
    <w:p>
      <w:pPr>
        <w:bidi w:val="false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  <w:t xml:space="preserve">АЛТАЙСКОГО КРАЯ</w:t>
      </w:r>
    </w:p>
    <w:p>
      <w:pPr>
        <w:bidi w:val="false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  <w:t xml:space="preserve">ПОСТАНОВЛЕНИЕ</w:t>
      </w:r>
    </w:p>
    <w:p>
      <w:pPr>
        <w:bidi w:val="false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  <w:t xml:space="preserve">09.06.2021                                                                                                                         № 999</w:t>
      </w:r>
    </w:p>
    <w:p>
      <w:pPr>
        <w:bidi w:val="false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  <w:t xml:space="preserve">г. Новоалтайск</w:t>
      </w:r>
    </w:p>
    <w:p>
      <w:pPr>
        <w:pStyle w:val="Style_18"/>
        <w:bidi w:val="false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color w:val="000000"/>
          <w:sz w:val="24"/>
          <w:szCs w:val="24"/>
          <w:u w:val="none"/>
          <w:cs w:val="0"/>
          <w:lang w:val="ru-RU" w:bidi="ru-RU"/>
        </w:rPr>
      </w:pPr>
    </w:p>
    <w:p>
      <w:pPr>
        <w:pStyle w:val="Style_18"/>
        <w:bidi w:val="false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color w:val="000000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  <w:cs w:val="0"/>
          <w:lang w:val="ru-RU" w:bidi="ru-RU"/>
        </w:rPr>
        <w:t xml:space="preserve">Об утверждении Положения о Новоалтайском городском звене Алтайской территориальной подсистемы единой государственной системы предупреждения и ликвидации чрезвычайных ситуаций</w:t>
      </w:r>
    </w:p>
    <w:p>
      <w:pPr>
        <w:pStyle w:val="Style_18"/>
        <w:bidi w:val="false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color w:val="000000"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709" w:left="0"/>
        <w:jc w:val="center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ситуаций,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ПОСТАНОВЛЯЮ:</w:t>
      </w:r>
    </w:p>
    <w:p>
      <w:pPr>
        <w:tabs>
          <w:tab w:val="left" w:pos="0"/>
          <w:tab w:val="left" w:pos="567"/>
        </w:tabs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1. Утвердить Положение о Новоалтайском городском звене Алтайской территориальной подсистемы единой государственной системы предупреждения и ликвидации чрезвычайных ситуаций, согласно приложению.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pacing w:val="2"/>
          <w:sz w:val="24"/>
          <w:szCs w:val="24"/>
          <w:u w:val="none"/>
          <w:shd w:val="clear" w:color="auto" w:fill="ffffff"/>
          <w:cs w:val="0"/>
          <w:lang w:val="ru-RU" w:bidi="ru-RU"/>
        </w:rPr>
      </w:pPr>
      <w:r>
        <w:rPr>
          <w:rFonts w:ascii="Arial" w:hAnsi="Arial" w:eastAsia="Arial" w:cs="Arial"/>
          <w:spacing w:val="2"/>
          <w:sz w:val="24"/>
          <w:szCs w:val="24"/>
          <w:u w:val="none"/>
          <w:shd w:val="clear" w:color="auto" w:fill="ffffff"/>
          <w:cs w:val="0"/>
          <w:lang w:val="ru-RU" w:bidi="ru-RU"/>
        </w:rPr>
        <w:t xml:space="preserve">2. Признать утратившими силу постановления Администрации города Новоалтайска от 05.08.2005 № 1634 «Об утверждении Положения о Новоалтайском городском звене Алтайской территориальной подсистемы единой государственной системы предупреждения и ликвидации чрезвычайных ситуаций», от 08.05.2009 №799 «О внесении изменений в постановление администрации города от 05.08.05г. №1634», от 31.10.2016 № 2169 «О внесении изменений в постановление администрации города от 05.08.05г. №1634».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b/>
          <w:bCs/>
          <w:color w:val="000000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  <w:cs w:val="0"/>
          <w:lang w:val="ru-RU" w:bidi="ru-RU"/>
        </w:rPr>
        <w:t xml:space="preserve">3. Опубликовать настоящее постановление в Вестнике муниципального образования города Новоалтайска.</w:t>
      </w:r>
    </w:p>
    <w:p>
      <w:pPr>
        <w:tabs>
          <w:tab w:val="left" w:pos="0"/>
          <w:tab w:val="left" w:pos="567"/>
          <w:tab w:val="left" w:pos="14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b/>
          <w:bCs/>
          <w:color w:val="000000"/>
          <w:sz w:val="24"/>
          <w:szCs w:val="24"/>
          <w:u w:val="none"/>
          <w:cs w:val="0"/>
          <w:lang w:val="ru-RU" w:bidi="ru-RU"/>
        </w:rPr>
        <w:t xml:space="preserve">4.</w:t>
      </w: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 Контроль за исполнением настоящего постановления оставляю за собой.</w:t>
      </w:r>
    </w:p>
    <w:p>
      <w:pPr>
        <w:bidi w:val="false"/>
        <w:spacing w:after="0" w:before="0" w:line="240" w:lineRule="auto"/>
        <w:ind w:right="0" w:firstLine="709" w:left="0"/>
        <w:jc w:val="left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709" w:left="0"/>
        <w:jc w:val="left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709" w:left="0"/>
        <w:jc w:val="left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Глава города   С.Н. Еремеев</w:t>
      </w:r>
    </w:p>
    <w:p>
      <w:pPr>
        <w:shd w:val="clear" w:fill="ffffff"/>
        <w:bidi w:val="false"/>
        <w:spacing w:after="0" w:before="0" w:line="240" w:lineRule="auto"/>
        <w:ind w:right="-221" w:firstLine="709" w:left="0"/>
        <w:jc w:val="left"/>
        <w:rPr>
          <w:rFonts w:ascii="Arial" w:hAnsi="Arial" w:eastAsia="Arial" w:cs="Arial"/>
          <w:b/>
          <w:bCs/>
          <w:color w:val="000000"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709" w:left="0"/>
        <w:jc w:val="center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Приложение 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к постановлению Администрации 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города от 09.06.</w:t>
      </w:r>
      <w:r>
        <w:rPr>
          <w:rFonts w:ascii="Arial" w:hAnsi="Arial" w:eastAsia="Arial" w:cs="Arial"/>
          <w:sz w:val="24"/>
          <w:szCs w:val="24"/>
          <w:u w:val="single"/>
          <w:cs w:val="0"/>
          <w:lang w:val="ru-RU" w:bidi="ru-RU"/>
        </w:rPr>
        <w:t xml:space="preserve"> </w:t>
      </w: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2021 № 999 </w:t>
      </w:r>
    </w:p>
    <w:p>
      <w:pPr>
        <w:bidi w:val="false"/>
        <w:spacing w:after="0" w:before="0" w:line="240" w:lineRule="auto"/>
        <w:ind w:right="0" w:firstLine="709" w:left="0"/>
        <w:jc w:val="center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709" w:left="0"/>
        <w:jc w:val="left"/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  <w:t xml:space="preserve">ПОЛОЖЕНИЕ</w:t>
      </w:r>
    </w:p>
    <w:p>
      <w:pPr>
        <w:bidi w:val="false"/>
        <w:spacing w:after="0" w:before="0" w:line="240" w:lineRule="auto"/>
        <w:ind w:right="0" w:firstLine="0" w:left="0"/>
        <w:jc w:val="center"/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  <w:t xml:space="preserve">о Новоалтайском городском звене Алтайской территориальной подсистемы единой государственной системы предупреждения и ликвидации чрезвычайных ситуаций</w:t>
      </w:r>
    </w:p>
    <w:p>
      <w:pPr>
        <w:bidi w:val="false"/>
        <w:spacing w:after="0" w:before="0" w:line="240" w:lineRule="auto"/>
        <w:ind w:right="0" w:firstLine="709" w:left="0"/>
        <w:jc w:val="center"/>
        <w:rPr>
          <w:rFonts w:ascii="Arial" w:hAnsi="Arial" w:eastAsia="Arial" w:cs="Arial"/>
          <w:b/>
          <w:bCs/>
          <w:sz w:val="24"/>
          <w:szCs w:val="24"/>
          <w:u w:val="none"/>
          <w:cs w:val="0"/>
          <w:lang w:val="ru-RU" w:bidi="ru-RU"/>
        </w:rPr>
      </w:pP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1.Настоящее Положение определяет принципы построения, состав сил и средств, порядок выполнения задач и взаимодействия основных элементов, а также регулирует основные вопросы функционирования городского звена территориальной подсистемы Алтайского края единой государственной системы предупреждения и ликвидации чрезвычайных ситуаций (далее по тексту - городское звено).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2.Городское звено объединяет органы управления, силы и средства Администрации города и организаций, в полномочия которых входит решение вопросов защиты населения и территории от чрезвычайных ситуации, и осуществляет свою деятельность в целях выполнения задач, предусмотренных Федеральным законом «О защите населения и территории от чрезвычайных ситуаций природного и техногенного характера».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3.Городское звено предназначено для предупреждения и ликвидации чрезвычайных ситуации в пределах границ муниципального образования городского округа город Новоалтайск.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4.Городское звено имеет координационные органы, постоянно действующие органы управления, органы повседневного управления, силы и средства, резервы финансовых и материальных ресурсов, системы связи, оповещения и информационного обеспечения.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5.Координационными</w:t>
      </w: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ab/>
      </w: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органами городского звена являются: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на муниципальном уровне - комиссия по предупреждению и ликвидации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чрезвычайных ситуаций и обеспечению пожарной безопасности города;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на объектовом уровне - комиссии по предупреждению и ликвидации чрезвычайных - ситуаций и обеспечению пожарной безопасности организаций города.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6.Образование, реорганизация и упразднение комиссий по предупреждению и ликвидации чрезвычайных ситуаций и обеспечению пожарной безопасности, определение их компетенции, утверждение руководителя и персонального состава осуществляется соответственно Администрацией города и организациями.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Компетенция комиссий по предупреждению и ликвидации чрезвычайных ситуаций и обеспечению пожарной безопасности, а также порядок принятия решений определяется в положении о них или в решении об их образовании.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Комиссии по предупреждению и ликвидации чрезвычайных ситуаций и обеспечению пожарной безопасности города и организаций возглавляются соответственно руководителями указанных органов и организаций или их заместителями.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7.Основными задачами комиссий по предупреждению и ликвидации чрезвычайных ситуаций и обеспечению пожарной безопасности в соответствии с их компетенцией являются: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а) разработка предложений по реализации государственной политики в области предупреждения и ликвидации чрезвычайных ситуаций и обеспечения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пожарной безопасности;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б) координация деятельности органов управления и сил городского звена;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в) обеспечение согласованности действий администрации города и организаций при решении задач в области предупреждения и ликвидации чрезвычайных ситуаций и обеспечение пожарной безопасности, а также восстановления и строительства жилых домов, объектов жилищно- 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г) рассмотрение вопросов о привлечении сил и средств гражданской обороны к организации и проведению мероприятии по предотвращению и ликвидации чрезвычайных ситуаций в порядке, установленном федеральным законом.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Иные задачи могут быть возложены на соответствующие комиссии по предупреждению и ликвидации чрезвычайных ситуаций и обеспечению пожарной безопасности решениями Администрации города и организаций в соответствии с законодательством Российской Федерации и нормативно правовыми актами органов местного самоуправления.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8. Постоянно действующие органы управления городского звена: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на муниципальном уровне - муниципальное казённое учреждение «Управление по делам гражданской обороны и чрезвычайным ситуациям города Новоалтайска» (далее МКУ «УГОЧС по городу Новоалтайску»);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на объектовом уровне - структурные подразделения организаций, уполномоченных на решение задач в области защиты населения и территорий от чрезвычайных ситуаций и (или) гражданской обороны.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9.Органы повседневного управления городского звена: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</w:t>
      </w: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ab/>
      </w: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единая дежурно-диспетчерская служба города;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</w:t>
      </w: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ab/>
      </w: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дежурно-диспетчерские службы организаций (объектов).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10.Размещение органов повседневного управления осуществляется на местах, оснащаемых соответствующими средствами связи, оповещения, сбора, обработки и передачи информации и поддерживаемых в состоянии постоянной готовности к использованию.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Единая дежурно-диспетчерская служба города (ЕДДС) создана при МКУ «УГОЧС по городу Новоалтайску» и располагается в здании Управления по адресу: ул. Анатолия, 31 и совмещает функции пункта управления, центра управления в кризисных ситуациях.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11. К силам и средствам городского звена относятся специально подготовленные силы и средства организаций и общественных объединений, предназначенных и выделяемых (привлекаемых) для предупреждения и ликвидации чрезвычайных ситуаций.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12. В состав сил и средств городского звена ТП РСЧС входят силы и средства постоянной готовности, предназначенные для оперативного реагирования на чрезвычайные ситуации и проведения работ по их ликвидации (далее силы постоянной готовности).</w:t>
      </w:r>
    </w:p>
    <w:p>
      <w:pPr>
        <w:pStyle w:val="Style_22"/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Основу сил постоянной готовности 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инструментом, материалами с учетом обеспечения проведения аварийно- спасательных и других неотложных работ в зоне чрезвычайной ситуации.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Перечень сил постоянной готовности городского звена ТП РСЧС утверждается постановлением Администрации города.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13. Координацию деятельности аварийно-спасательных служб и аварийно- спасательных формирований, действующих па территории города осуществляет МКУ «УГОЧС по городу Новоалтайску».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14. Привлечение аварийно-спасательных служб и аварийно-спасательных формирований к ликвидации чрезвычайных ситуаций осуществляется: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в соответствии с планом предупреждения и ликвидации чрезвычайных ситуаций на обслуживаемых указанными службами и формированиями объектах и территориях;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в соответствии с планами взаимодействия при ликвидации чрезвычайных ситуаций на других объектах и территориях;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по решению Администрации города, организаций и общественных объединений, осуществляющих руководство деятельностью указанных служб и формирований.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Общественные аварийно-спасательные формирования могут участвовать в соответствии с законодательством Российской Федерации в ликвидации чрезвычайных ситуаций и действуют под руководством МКУ «УГОЧС по городу Новоалтайску».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15. Готовность аварийно-спасательных служб и аварийно-спасательных формирований к реагированию на чрезвычайные ситуации и проведению работ по их ликвидации определяется в ходе аттестации, а также во время проверок, в пределах своих полномочий Главным управлением МЧС России по Алтайскому краю, органами надзора и контроля, органами местного самоуправления и организациями, создающими указанные службы и формирования.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16. Для ликвидации чрезвычайных ситуаций создаются и используются: финансовые резервы Администрации города и резервы финансовых и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материальных ресурсов городских организаций.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Порядок создания, использования и восполнения резервов финансовых средств определяется нормативными правовыми актами Администрации города. 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Номенклатура и объем резервов материальных ресурсов для ликвидации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чрезвычайных ситуации, а также контроль за их созданием, хранением, использованием и восполнением устанавливаются создающими их организациями.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17. Управление силами и средствами городского звена ТП РСЧС осуществляется через ЕДДС с использованием систем связи и оповещения, представляющих собой организационно-техническое объединение сил: телефонные, телеграфные сети связи, радиостанции УКВ и КВ, спутниковая и сотовая связь, стойка централизованного оповещения П-164, аппаратура оповещения PVR-4.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18. Информационное обеспечение функционирования городского звена ТП РСЧС осуществляется с использованием автоматизированной информационно-управляющей системы, представляющей собой совокупность технических систем, средств связи и оповещения, автоматизации и информационных ресурсов, обеспечивающей обмен данными, подготовку, сбор, хранение, обработку, анализ и передачу информации.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Для приема сообщений о чрезвычайных ситуациях, в том числе вызванных пожарами, установлен единый номер - 112.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Сбор и обмен информацией в области защиты населения и территорий от чрезвычайных ситуаций и обеспечения пожарной безопасности осуществляется путем передачи дежурно-диспетчерскими службами организаций, предприятий и служб города формализованных документов в ЕДДС.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Критерии, содержание и вид информации установлен в инструкции «Об обмене информацией между ЕДДС и дежурно-диспетчерских служб», утверждаемой постановлением Главы города.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19. Проведение мероприятий по предупреждению и ликвидации чрезвычайных ситуации в рамках единой системы осуществляется на основе плана действии по предупреждению и ликвидации чрезвычайных ситуаций городского звена.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Организационно-методическое руководство планированием действий в рамках городского звена единой системы осуществляет МКУ «УГОЧС по городу Новоалтайску».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20. При отсутствии угрозы возникновений чрезвычайных ситуаций на объектах, территориях или акваториях органы управления и силы городского звена функционируют в режиме повседневной деятельности.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Решениями Главы города, руководителями организаций, на территории которых могут возникнуть или возникли, либо к полномочиям которых отнесена ликвидация чрезвычайных ситуаций, для соответствующих органов управления и сил городского звена может устанавливаться один из следующих режимов функционирования: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а) режим повышенной готовности - при угрозе возникновения чрезвычайных ситуаций;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б) режим чрезвычайной ситуации - при возникновении и ликвидации чрезвычайных ситуаций.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21. Решениями Главы города, руководителями организаций о введении для соответствующих органов управления и сил городского звена режима повышенной готовности или режима чрезвычайной ситуации определяются: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а) обстоятельства, послужившие основанием для введения режима повышенной готовности или режима чрезвычайной ситуации;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б) границы территории, на которой может возникнуть чрезвычайная ситуация, или границы зоны чрезвычайной ситуации;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в) силы и средства, привлекаемые к проведению мероприятий по предупреждению и ликвидации чрезвычайной ситуации;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г) перечень мер по обеспечению защиты населения от чрезвычайной ситуации или организации работ по ее ликвидации;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д) должностные лица, ответственные за осуществление мероприятий по предупреждению чрезвычайной ситуации, или руководитель работ по ликвидации чрезвычайной ситуации.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Глава города и руководители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сил городского звена, а также мерах по обеспечению безопасности населения.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22. При устранении обстоятельств, послуживших основанием для введения на соответствующей территории режима повышенной готовности или режима чрезвычайной ситуации, Глава города, руководители организаций отменяют установленные режимы функционирования органов управления и сил городского звена.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23. Основными мероприятиями, проводимыми органами управления и силами городского звена ТП РСЧС, являются: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а) в режиме повседневной деятельности: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-изучение состояния окружающей среды и прогнозирование чрезвычайных ситуаций;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-сбор, обработка и обмен в установленном порядке информацией в области защиты населения и территорий от чрезвычайных ситуаций и обеспечения пожарной безопасности; разработка и реализация целевых программ и мер по предупреждению чрезвычайных ситуаций и обеспечению пожарной безопасности;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-планирование действий органов управления и сил городского звена, организация подготовки и обеспечения их деятельности;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-подготовка населения к действиям в чрезвычайных ситуациях;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-пропаганда знаний в области защиты населения и территорий от чрезвычайных ситуаций и обеспечения пожарной безопасности;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-проведение в пределах своих полномочий государственной экспертизы, надзора и контроля в области защиты населения и территорий от чрезвычайных ситуаций и обеспечения пожарной безопасности;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-осуществление в пределах своих полномочий необходимых видов страхования;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-проведение мероприятий по подготовке к эвакуации населения, материальных и культурных ценностей в безопасные районы, их размещению и возвращению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-ведение статистической отчетности о чрезвычайных ситуациях, участие в расследовании причин аварий и катастроф, а также выработке мер по устранению</w:t>
      </w: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ab/>
      </w: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причин подобных аварий и катастроф;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б) в режиме повышенной готовности: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-усиление контроля, за состоянием окружающей среды, прогнозирование возникновения чрезвычайных ситуации и их последствий;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-введение при необходимости круглосуточного дежурства руководителей и должностных лиц органов управления и сил городского звена на стационарных пунктах управления; 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-непрерывный сбор, обработка и передача информации органам управления и силам городского звена о прогнозируемых чрезвычайных ситуациях, информирование населения о приемах и способах защиты от них;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-уточнение планов действий (взаимодействия) по предупреждению и ликвидации чрезвычайных ситуаций и иных документов;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-приведение при необходимости сил и средств городского звена в готовность к реагированию на чрезвычайные ситуации, формирование оперативных групп и организация выдвижения их в предполагаемые районы действий;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-восполнение при необходимости резервов материальных ресурсов, созданных для ликвидации чрезвычайных ситуации;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-проведение при необходимости эвакуационных мероприятий;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в) в режиме чрезвычайной ситуации: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 непрерывный контроль, за состоянием окружающей среды, прогнозирование развития возникших чрезвычайных ситуаций и их последствий;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-оповещение руководителей Администрации города, организаций, а также населения о возникших чрезвычайных ситуациях;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-проведение мероприятий по защите населения и территорий от чрезвычайных ситуаций;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-организация работ по ликвидации чрезвычайных ситуаций и всестороннему обеспечению действий сил и средств городского звена,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-организация и поддержание непрерывного взаимодействия комиссии по чрезвычайным ситуациям города и организаций по вопросам ликвидации чрезвычайных ситуаций и их последствий;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-проведение мероприятий по жизнеобеспечению населения в чрезвычайных ситуациях.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24. При введении режима чрезвычайного положения по обстоятельствам, предусмотренным в пункте «а» статьи 3 Федерального конституционного закона «О чрезвычайном положении», для органов управления и сил городского звена устанавливается режим повышенной готовности, а при введении режима чрезвычайного положения по обстоятельствам, предусмотренным в пункте «б» указанной статьи, - режим чрезвычайной ситуации.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В режиме чрезвычайного положения органы управления и силы территориальной подсистемы функционируют с учетом особого правого режима деятельности органов местного самоуправления и организаций.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25. Ликвидация чрезвычайных ситуаций осуществляется в соответствии со следующей установленной Правительством Российской Федерации классификацией чрезвычайных ситуаций: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локальной - силами и средствами организации;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муниципальной - силами и средствами органа местного самоуправления;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межмуниципальной и региональной - силами и средствами органов местного самоуправления, органов исполнительной власти субъектов Российской Федерации, оказавшихся в зоне чрезвычайной ситуации;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межрегиональной и федеральной - силами и средствами органов исполнительной власти субъектов Российской Федерации, оказавшихся в зоне чрезвычайной ситуации.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При недостаточности указанных сил и средств привлекаются в установленном порядке силы и средства федеральных органов исполнительной власти.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26. Руководство силами и средствами, привлеченными к ликвидации чрезвычайных ситуации, и организацию их взаимодействия осуществляет руководитель работ по ликвидации чрезвычайных ситуаций.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Руководители аварийных служб и формирований, прибывшие в зону чрезвычайных ситуаций первыми, принимают полномочия руководителей работ ликвидации ситуаций и исполняют их до прибытия руководителей работ по ликвидации чрезвычайных ситуаций, определенных председателем комиссии по чрезвычайным ситуациям и обеспечению пожарной безопасности города, руководителями организаций, к полномочиям которых отнесена ликвидация чрезвычайных ситуаций.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Руководители работ по ликвидации чрезвычайных ситуаций по согласованию с председателем комиссии по чрезвычайным ситуациям и обеспечению пожарной безопасности города или руководителем организации, на территориях которых возникла чрезвычайная ситуация,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Решения руководителей работ по ликвидации чрезвычайных ситуаций являются обязательными для всех граждан и организаций, находящихся в зоне чрезвычайной ситуации, если иное не предусмотрено законодательством Российской Федерации.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27. В случае крайней необходимости руководители работ по ликвидации чрезвычайных ситуаций вправе самостоятельно принимать решения на: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проведение эвакуационных мероприятий;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остановка деятельности организаций, находящихся в зоне чрезвычайной ситуации;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проведение аварийно-спасательных работ на объектах и территориях организации, находящихся в зоне чрезвычайной ситуации;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ограничение доступа людей в зону чрезвычайной ситуации; 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разбронирование в установленном порядке резервов материальных ресурсов организации, находящихся в зоне чрезвычайной ситуации, за исключением материальных ценностей государственного материального резерва;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использование в порядке, установленном законодательством Российской Федерации, средств связи и оповещения, транспортных средств и иного имущества организации, находящихся в зоне чрезвычайной ситуации;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привлечение к проведению работ по ликвидации чрезвычайных ситуаций нештатных и общественных аварийно-спасательных формирований, а также спасателей, не входящих в состав указанных формирований, при наличии у них документов, подтверждающих их аттестацию на проведение авариино- спасательпых работ;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привлечение на добровольной основе населения к проведению неотложных работ, а также отдельных граждан, не являющихся спасателями, к проведению неотложных работ, а также отдельных граждан, не являющихся спасателями, к проведению аварийно- спасательных работ;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принятие других необходимых мер, обусловленных развитием чрезвычайных ситуаций и ходом работ по их ликвидации.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Руководители работ по ликвидации чрезвычайных ситуаций незамедлительно информируют через ЕДДС о принятых ими в случае крайней необходимости решениях председателя комиссии по чрезвычайным ситуациям и обеспечению пожарной безопасности города и организации.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28. Финансирование городского звена и мероприятий по предупреждению и ликвидации чрезвычайных ситуации осуществляется за счет средств соответствующих бюджетов и собственников (пользователей) имущества в соответствии с законодательством.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Организации всех форм</w:t>
      </w: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ab/>
      </w: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собственности участвуют в ликвидации чрезвычайных ситуаций за счет собственных средств.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29. Порядок организации и осуществление работ по профилактике пожаров и непосредственному их тушению, а также проведения аварийно- спасательных и других работ, возложенных на пожарную охрану, определяется законодательными и иными нормативными актами в области пожарной безопасности, в том числе техническими регламентами.</w:t>
      </w:r>
    </w:p>
    <w:p>
      <w:pPr>
        <w:bidi w:val="false"/>
        <w:spacing w:after="0" w:before="0" w:line="240" w:lineRule="auto"/>
        <w:ind w:right="0" w:firstLine="709" w:left="0"/>
        <w:jc w:val="both"/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</w:pPr>
      <w:r>
        <w:rPr>
          <w:rFonts w:ascii="Arial" w:hAnsi="Arial" w:eastAsia="Arial" w:cs="Arial"/>
          <w:sz w:val="24"/>
          <w:szCs w:val="24"/>
          <w:u w:val="none"/>
          <w:cs w:val="0"/>
          <w:lang w:val="ru-RU" w:bidi="ru-RU"/>
        </w:rPr>
        <w:t xml:space="preserve">Тушение пожаров в лесах осуществляется в соответствии с законодательством Российской федерации.</w:t>
      </w:r>
    </w:p>
    <w:sectPr>
      <w:footnotePr>
        <w:pos w:val="pageBottom"/>
      </w:footnotePr>
      <w:type w:val="nextPage"/>
      <w:pgSz w:h="16838" w:w="11906"/>
      <w:pgMar w:top="1134" w:right="567" w:bottom="1134" w:left="1276" w:header="709" w:footer="709" w:gutter="0"/>
      <w:cols w:num="1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jc w:val="left"/>
        <w:rPr>
          <w:sz w:val="24"/>
          <w:u w:val="none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  <w:separator/>
      </w:r>
    </w:p>
  </w:endnote>
  <w:endnote w:type="continuationSeparator" w:id="1">
    <w:p>
      <w:pPr>
        <w:jc w:val="left"/>
        <w:rPr>
          <w:sz w:val="24"/>
          <w:u w:val="none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jc w:val="left"/>
        <w:rPr>
          <w:sz w:val="24"/>
          <w:u w:val="none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  <w:separator/>
      </w:r>
    </w:p>
  </w:footnote>
  <w:footnote w:type="continuationSeparator" w:id="1">
    <w:p>
      <w:pPr>
        <w:jc w:val="left"/>
        <w:rPr>
          <w:sz w:val="24"/>
          <w:u w:val="none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96090879">
    <w:multiLevelType w:val="hybridMultilevel"/>
    <w:lvl w:ilvl="0">
      <w:lvlJc w:val="left"/>
      <w:lvlText w:val="%1."/>
      <w:numFmt w:val="decimal"/>
      <w:pPr>
        <w:ind w:hanging="360" w:left="720"/>
      </w:pPr>
      <w:rPr>
        <w:rFonts w:ascii="Times New Roman" w:hAnsi="Times New Roman" w:eastAsia="Times New Roman" w:cs="Times New Roman"/>
        <w:b/>
        <w:bCs/>
        <w:sz w:val="24"/>
        <w:szCs w:val="24"/>
        <w:u w:val="none"/>
        <w:cs w:val="0"/>
      </w:rPr>
      <w:start w:val="1"/>
      <w:suff w:val="tab"/>
    </w:lvl>
    <w:lvl w:ilvl="1">
      <w:lvlJc w:val="left"/>
      <w:lvlText w:val="%2."/>
      <w:numFmt w:val="lowerLetter"/>
      <w:pPr>
        <w:ind w:hanging="360" w:left="14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%3."/>
      <w:numFmt w:val="lowerRoman"/>
      <w:pPr>
        <w:ind w:hanging="180" w:left="21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%4."/>
      <w:numFmt w:val="decimal"/>
      <w:pPr>
        <w:ind w:hanging="360" w:left="28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%5."/>
      <w:numFmt w:val="lowerLetter"/>
      <w:pPr>
        <w:ind w:hanging="360" w:left="36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%6."/>
      <w:numFmt w:val="lowerRoman"/>
      <w:pPr>
        <w:ind w:hanging="180" w:left="43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%7."/>
      <w:numFmt w:val="decimal"/>
      <w:pPr>
        <w:ind w:hanging="360" w:left="50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%8."/>
      <w:numFmt w:val="lowerLetter"/>
      <w:pPr>
        <w:ind w:hanging="360" w:left="57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%9."/>
      <w:numFmt w:val="lowerRoman"/>
      <w:pPr>
        <w:ind w:hanging="18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681055029">
    <w:multiLevelType w:val="hybridMultilevel"/>
    <w:lvl w:ilvl="0">
      <w:lvlJc w:val="left"/>
      <w:lvlText w:val="%1."/>
      <w:numFmt w:val="decimal"/>
      <w:pPr>
        <w:ind w:hanging="360" w:left="106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 w:tentative="true">
      <w:lvlJc w:val="left"/>
      <w:lvlText w:val="%2."/>
      <w:numFmt w:val="lowerLetter"/>
      <w:pPr>
        <w:ind w:hanging="360" w:left="178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 w:tentative="true">
      <w:lvlJc w:val="right"/>
      <w:lvlText w:val="%3."/>
      <w:numFmt w:val="lowerRoman"/>
      <w:pPr>
        <w:ind w:hanging="180" w:left="250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 w:tentative="true">
      <w:lvlJc w:val="left"/>
      <w:lvlText w:val="%4."/>
      <w:numFmt w:val="decimal"/>
      <w:pPr>
        <w:ind w:hanging="360" w:left="322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 w:tentative="true">
      <w:lvlJc w:val="left"/>
      <w:lvlText w:val="%5."/>
      <w:numFmt w:val="lowerLetter"/>
      <w:pPr>
        <w:ind w:hanging="360" w:left="394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 w:tentative="true">
      <w:lvlJc w:val="right"/>
      <w:lvlText w:val="%6."/>
      <w:numFmt w:val="lowerRoman"/>
      <w:pPr>
        <w:ind w:hanging="180" w:left="466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 w:tentative="true">
      <w:lvlJc w:val="left"/>
      <w:lvlText w:val="%7."/>
      <w:numFmt w:val="decimal"/>
      <w:pPr>
        <w:ind w:hanging="360" w:left="538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 w:tentative="true">
      <w:lvlJc w:val="left"/>
      <w:lvlText w:val="%8."/>
      <w:numFmt w:val="lowerLetter"/>
      <w:pPr>
        <w:ind w:hanging="360" w:left="610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 w:tentative="true">
      <w:lvlJc w:val="right"/>
      <w:lvlText w:val="%9."/>
      <w:numFmt w:val="lowerRoman"/>
      <w:pPr>
        <w:ind w:hanging="180" w:left="682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1014765019">
    <w:multiLevelType w:val="hybridMultilevel"/>
    <w:lvl w:ilvl="0">
      <w:lvlJc w:val="left"/>
      <w:lvlText w:val="%1."/>
      <w:numFmt w:val="decimal"/>
      <w:pPr>
        <w:ind w:hanging="360" w:left="7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 w:tentative="true">
      <w:lvlJc w:val="left"/>
      <w:lvlText w:val="%2."/>
      <w:numFmt w:val="lowerLetter"/>
      <w:pPr>
        <w:ind w:hanging="360" w:left="14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 w:tentative="true">
      <w:lvlJc w:val="right"/>
      <w:lvlText w:val="%3."/>
      <w:numFmt w:val="lowerRoman"/>
      <w:pPr>
        <w:ind w:hanging="180" w:left="21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 w:tentative="true">
      <w:lvlJc w:val="left"/>
      <w:lvlText w:val="%4."/>
      <w:numFmt w:val="decimal"/>
      <w:pPr>
        <w:ind w:hanging="360" w:left="28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 w:tentative="true">
      <w:lvlJc w:val="left"/>
      <w:lvlText w:val="%5."/>
      <w:numFmt w:val="lowerLetter"/>
      <w:pPr>
        <w:ind w:hanging="360" w:left="36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 w:tentative="true">
      <w:lvlJc w:val="right"/>
      <w:lvlText w:val="%6."/>
      <w:numFmt w:val="lowerRoman"/>
      <w:pPr>
        <w:ind w:hanging="180" w:left="43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 w:tentative="true">
      <w:lvlJc w:val="left"/>
      <w:lvlText w:val="%7."/>
      <w:numFmt w:val="decimal"/>
      <w:pPr>
        <w:ind w:hanging="360" w:left="50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 w:tentative="true">
      <w:lvlJc w:val="left"/>
      <w:lvlText w:val="%8."/>
      <w:numFmt w:val="lowerLetter"/>
      <w:pPr>
        <w:ind w:hanging="360" w:left="57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 w:tentative="true">
      <w:lvlJc w:val="right"/>
      <w:lvlText w:val="%9."/>
      <w:numFmt w:val="lowerRoman"/>
      <w:pPr>
        <w:ind w:hanging="18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1102260141">
    <w:multiLevelType w:val="hybridMultilevel"/>
    <w:lvl w:ilvl="0">
      <w:lvlJc w:val="left"/>
      <w:lvlText w:val="%1."/>
      <w:numFmt w:val="decimal"/>
      <w:pPr>
        <w:ind w:hanging="1125" w:left="1125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>
      <w:lvlJc w:val="left"/>
      <w:lvlText w:val="%2."/>
      <w:numFmt w:val="lowerLetter"/>
      <w:pPr>
        <w:ind w:hanging="360" w:left="1788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%3."/>
      <w:numFmt w:val="lowerRoman"/>
      <w:pPr>
        <w:ind w:hanging="180" w:left="2508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%4."/>
      <w:numFmt w:val="decimal"/>
      <w:pPr>
        <w:ind w:hanging="360" w:left="3228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%5."/>
      <w:numFmt w:val="lowerLetter"/>
      <w:pPr>
        <w:ind w:hanging="360" w:left="3948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%6."/>
      <w:numFmt w:val="lowerRoman"/>
      <w:pPr>
        <w:ind w:hanging="180" w:left="4668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%7."/>
      <w:numFmt w:val="decimal"/>
      <w:pPr>
        <w:ind w:hanging="360" w:left="5388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%8."/>
      <w:numFmt w:val="lowerLetter"/>
      <w:pPr>
        <w:ind w:hanging="360" w:left="6108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%9."/>
      <w:numFmt w:val="lowerRoman"/>
      <w:pPr>
        <w:ind w:hanging="180" w:left="6828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1186599220">
    <w:multiLevelType w:val="hybridMultilevel"/>
    <w:lvl w:ilvl="0">
      <w:lvlJc w:val="left"/>
      <w:lvlText w:val="%1."/>
      <w:numFmt w:val="decimal"/>
      <w:pPr>
        <w:ind w:hanging="360" w:left="759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2"/>
      <w:suff w:val="tab"/>
    </w:lvl>
    <w:lvl w:ilvl="1">
      <w:lvlJc w:val="left"/>
      <w:lvlText w:val="%2."/>
      <w:numFmt w:val="lowerLetter"/>
      <w:pPr>
        <w:ind w:hanging="360" w:left="831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%3."/>
      <w:numFmt w:val="lowerRoman"/>
      <w:pPr>
        <w:ind w:hanging="180" w:left="903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%4."/>
      <w:numFmt w:val="decimal"/>
      <w:pPr>
        <w:ind w:hanging="360" w:left="975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%5."/>
      <w:numFmt w:val="lowerLetter"/>
      <w:pPr>
        <w:ind w:hanging="360" w:left="1047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%6."/>
      <w:numFmt w:val="lowerRoman"/>
      <w:pPr>
        <w:ind w:hanging="180" w:left="1119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%7."/>
      <w:numFmt w:val="decimal"/>
      <w:pPr>
        <w:ind w:hanging="360" w:left="1191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%8."/>
      <w:numFmt w:val="lowerLetter"/>
      <w:pPr>
        <w:ind w:hanging="360" w:left="1263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%9."/>
      <w:numFmt w:val="lowerRoman"/>
      <w:pPr>
        <w:ind w:hanging="180" w:left="1335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1260141489">
    <w:multiLevelType w:val="hybridMultilevel"/>
    <w:lvl w:ilvl="0">
      <w:lvlJc w:val="left"/>
      <w:lvlText w:val="%1."/>
      <w:numFmt w:val="decimal"/>
      <w:pPr>
        <w:ind w:hanging="360" w:left="7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 w:tentative="true">
      <w:lvlJc w:val="left"/>
      <w:lvlText w:val="%2."/>
      <w:numFmt w:val="lowerLetter"/>
      <w:pPr>
        <w:ind w:hanging="360" w:left="14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 w:tentative="true">
      <w:lvlJc w:val="right"/>
      <w:lvlText w:val="%3."/>
      <w:numFmt w:val="lowerRoman"/>
      <w:pPr>
        <w:ind w:hanging="180" w:left="21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 w:tentative="true">
      <w:lvlJc w:val="left"/>
      <w:lvlText w:val="%4."/>
      <w:numFmt w:val="decimal"/>
      <w:pPr>
        <w:ind w:hanging="360" w:left="28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 w:tentative="true">
      <w:lvlJc w:val="left"/>
      <w:lvlText w:val="%5."/>
      <w:numFmt w:val="lowerLetter"/>
      <w:pPr>
        <w:ind w:hanging="360" w:left="36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 w:tentative="true">
      <w:lvlJc w:val="right"/>
      <w:lvlText w:val="%6."/>
      <w:numFmt w:val="lowerRoman"/>
      <w:pPr>
        <w:ind w:hanging="180" w:left="43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 w:tentative="true">
      <w:lvlJc w:val="left"/>
      <w:lvlText w:val="%7."/>
      <w:numFmt w:val="decimal"/>
      <w:pPr>
        <w:ind w:hanging="360" w:left="50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 w:tentative="true">
      <w:lvlJc w:val="left"/>
      <w:lvlText w:val="%8."/>
      <w:numFmt w:val="lowerLetter"/>
      <w:pPr>
        <w:ind w:hanging="360" w:left="57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 w:tentative="true">
      <w:lvlJc w:val="right"/>
      <w:lvlText w:val="%9."/>
      <w:numFmt w:val="lowerRoman"/>
      <w:pPr>
        <w:ind w:hanging="18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1649556929">
    <w:multiLevelType w:val="hybridMultilevel"/>
    <w:lvl w:ilvl="0">
      <w:lvlJc w:val="left"/>
      <w:lvlText w:val="%1."/>
      <w:numFmt w:val="decimal"/>
      <w:pPr>
        <w:ind w:hanging="360" w:left="106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 w:tentative="true">
      <w:lvlJc w:val="left"/>
      <w:lvlText w:val="%2."/>
      <w:numFmt w:val="lowerLetter"/>
      <w:pPr>
        <w:ind w:hanging="360" w:left="178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 w:tentative="true">
      <w:lvlJc w:val="right"/>
      <w:lvlText w:val="%3."/>
      <w:numFmt w:val="lowerRoman"/>
      <w:pPr>
        <w:ind w:hanging="180" w:left="250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 w:tentative="true">
      <w:lvlJc w:val="left"/>
      <w:lvlText w:val="%4."/>
      <w:numFmt w:val="decimal"/>
      <w:pPr>
        <w:ind w:hanging="360" w:left="322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 w:tentative="true">
      <w:lvlJc w:val="left"/>
      <w:lvlText w:val="%5."/>
      <w:numFmt w:val="lowerLetter"/>
      <w:pPr>
        <w:ind w:hanging="360" w:left="394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 w:tentative="true">
      <w:lvlJc w:val="right"/>
      <w:lvlText w:val="%6."/>
      <w:numFmt w:val="lowerRoman"/>
      <w:pPr>
        <w:ind w:hanging="180" w:left="466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 w:tentative="true">
      <w:lvlJc w:val="left"/>
      <w:lvlText w:val="%7."/>
      <w:numFmt w:val="decimal"/>
      <w:pPr>
        <w:ind w:hanging="360" w:left="538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 w:tentative="true">
      <w:lvlJc w:val="left"/>
      <w:lvlText w:val="%8."/>
      <w:numFmt w:val="lowerLetter"/>
      <w:pPr>
        <w:ind w:hanging="360" w:left="610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 w:tentative="true">
      <w:lvlJc w:val="right"/>
      <w:lvlText w:val="%9."/>
      <w:numFmt w:val="lowerRoman"/>
      <w:pPr>
        <w:ind w:hanging="180" w:left="682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1662854174">
    <w:multiLevelType w:val="hybridMultilevel"/>
    <w:lvl w:ilvl="0">
      <w:lvlJc w:val="left"/>
      <w:lvlText w:val="%1."/>
      <w:numFmt w:val="decimal"/>
      <w:pPr>
        <w:ind w:hanging="360" w:left="7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 w:tentative="true">
      <w:lvlJc w:val="left"/>
      <w:lvlText w:val="%2."/>
      <w:numFmt w:val="lowerLetter"/>
      <w:pPr>
        <w:ind w:hanging="360" w:left="14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 w:tentative="true">
      <w:lvlJc w:val="right"/>
      <w:lvlText w:val="%3."/>
      <w:numFmt w:val="lowerRoman"/>
      <w:pPr>
        <w:ind w:hanging="180" w:left="21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 w:tentative="true">
      <w:lvlJc w:val="left"/>
      <w:lvlText w:val="%4."/>
      <w:numFmt w:val="decimal"/>
      <w:pPr>
        <w:ind w:hanging="360" w:left="28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 w:tentative="true">
      <w:lvlJc w:val="left"/>
      <w:lvlText w:val="%5."/>
      <w:numFmt w:val="lowerLetter"/>
      <w:pPr>
        <w:ind w:hanging="360" w:left="36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 w:tentative="true">
      <w:lvlJc w:val="right"/>
      <w:lvlText w:val="%6."/>
      <w:numFmt w:val="lowerRoman"/>
      <w:pPr>
        <w:ind w:hanging="180" w:left="43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 w:tentative="true">
      <w:lvlJc w:val="left"/>
      <w:lvlText w:val="%7."/>
      <w:numFmt w:val="decimal"/>
      <w:pPr>
        <w:ind w:hanging="360" w:left="50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 w:tentative="true">
      <w:lvlJc w:val="left"/>
      <w:lvlText w:val="%8."/>
      <w:numFmt w:val="lowerLetter"/>
      <w:pPr>
        <w:ind w:hanging="360" w:left="57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 w:tentative="true">
      <w:lvlJc w:val="right"/>
      <w:lvlText w:val="%9."/>
      <w:numFmt w:val="lowerRoman"/>
      <w:pPr>
        <w:ind w:hanging="18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1710833587">
    <w:multiLevelType w:val="multilevel"/>
    <w:lvl w:ilvl="0">
      <w:lvlJc w:val="left"/>
      <w:lvlText w:val="%1."/>
      <w:numFmt w:val="decimal"/>
      <w:pPr>
        <w:ind w:hanging="360" w:left="106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>
      <w:lvlJc w:val="left"/>
      <w:lvlText w:val="%1.%2."/>
      <w:numFmt w:val="decimal"/>
      <w:pPr>
        <w:ind w:hanging="1368" w:left="2077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left"/>
      <w:lvlText w:val="%1.%2.%3."/>
      <w:numFmt w:val="decimal"/>
      <w:pPr>
        <w:ind w:hanging="1368" w:left="2077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%1.%2.%3.%4."/>
      <w:numFmt w:val="decimal"/>
      <w:pPr>
        <w:ind w:hanging="1368" w:left="2077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%1.%2.%3.%4.%5."/>
      <w:numFmt w:val="decimal"/>
      <w:pPr>
        <w:ind w:hanging="1368" w:left="2077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left"/>
      <w:lvlText w:val="%1.%2.%3.%4.%5.%6."/>
      <w:numFmt w:val="decimal"/>
      <w:pPr>
        <w:ind w:hanging="1440" w:left="214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%1.%2.%3.%4.%5.%6.%7."/>
      <w:numFmt w:val="decimal"/>
      <w:pPr>
        <w:ind w:hanging="1800" w:left="250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%1.%2.%3.%4.%5.%6.%7.%8."/>
      <w:numFmt w:val="decimal"/>
      <w:pPr>
        <w:ind w:hanging="1800" w:left="250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left"/>
      <w:lvlText w:val="%1.%2.%3.%4.%5.%6.%7.%8.%9."/>
      <w:numFmt w:val="decimal"/>
      <w:pPr>
        <w:ind w:hanging="2160" w:left="2869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2037391304">
    <w:multiLevelType w:val="multilevel"/>
    <w:lvl w:ilvl="0">
      <w:lvlJc w:val="left"/>
      <w:lvlText w:val="%1."/>
      <w:numFmt w:val="decimal"/>
      <w:pPr>
        <w:ind w:hanging="408" w:left="408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>
      <w:lvlJc w:val="left"/>
      <w:lvlText w:val="%1.%2."/>
      <w:numFmt w:val="decimal"/>
      <w:pPr>
        <w:ind w:hanging="720" w:left="15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2"/>
      <w:suff w:val="tab"/>
    </w:lvl>
    <w:lvl w:ilvl="2">
      <w:lvlJc w:val="left"/>
      <w:lvlText w:val="%1.%2.%3."/>
      <w:numFmt w:val="decimal"/>
      <w:pPr>
        <w:ind w:hanging="720" w:left="22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%1.%2.%3.%4."/>
      <w:numFmt w:val="decimal"/>
      <w:pPr>
        <w:ind w:hanging="1080" w:left="34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%1.%2.%3.%4.%5."/>
      <w:numFmt w:val="decimal"/>
      <w:pPr>
        <w:ind w:hanging="1080" w:left="42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left"/>
      <w:lvlText w:val="%1.%2.%3.%4.%5.%6."/>
      <w:numFmt w:val="decimal"/>
      <w:pPr>
        <w:ind w:hanging="1440" w:left="53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%1.%2.%3.%4.%5.%6.%7."/>
      <w:numFmt w:val="decimal"/>
      <w:pPr>
        <w:ind w:hanging="180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%1.%2.%3.%4.%5.%6.%7.%8."/>
      <w:numFmt w:val="decimal"/>
      <w:pPr>
        <w:ind w:hanging="1800" w:left="72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left"/>
      <w:lvlText w:val="%1.%2.%3.%4.%5.%6.%7.%8.%9."/>
      <w:numFmt w:val="decimal"/>
      <w:pPr>
        <w:ind w:hanging="2160" w:left="84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num w:numId="1">
    <w:abstractNumId w:val="1102260141"/>
  </w:num>
  <w:num w:numId="2">
    <w:abstractNumId w:val="196090879"/>
  </w:num>
  <w:num w:numId="3">
    <w:abstractNumId w:val="1186599220"/>
  </w:num>
  <w:num w:numId="4">
    <w:abstractNumId w:val="1649556929"/>
  </w:num>
  <w:num w:numId="5">
    <w:abstractNumId w:val="681055029"/>
  </w:num>
  <w:num w:numId="6">
    <w:abstractNumId w:val="1710833587"/>
  </w:num>
  <w:num w:numId="7">
    <w:abstractNumId w:val="2037391304"/>
  </w:num>
  <w:num w:numId="8">
    <w:abstractNumId w:val="1260141489"/>
  </w:num>
  <w:num w:numId="9">
    <w:abstractNumId w:val="1014765019"/>
  </w:num>
  <w:num w:numId="10">
    <w:abstractNumId w:val="166285417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oNotHyphenateCaps w:val="true"/>
  <w:drawingGridHorizontalSpacing w:val="110"/>
  <w:drawingGridVerticalSpacing w:val="180"/>
  <w:displayHorizontalDrawingGridEvery w:val="2"/>
  <w:displayVerticalDrawingGridEvery w:val="1"/>
  <w:drawingGridVerticalOrigin w:val="1134"/>
  <w:characterSpacingControl w:val="doNotCompress"/>
  <w:footnotePr>
    <w:pos w:val="pageBottom"/>
    <w:footnote w:id="1"/>
    <w:footnote w:id="0"/>
  </w:footnotePr>
  <w:endnotePr>
    <w:pos w:val="docEnd"/>
    <w:endnote w:id="1"/>
    <w:endnote w:id="0"/>
  </w:endnotePr>
  <w:compat>
    <w:compatSetting w:name="compatibilityMode" w:uri="http://schemas.microsoft.com/office/word" w:val="11"/>
  </w:compat>
  <m:mathPr>
    <m:mathFont m:val="Cambria Math"/>
    <m:brkBin m:val="before"/>
    <m:brkBinSub m:val="--"/>
    <m:dispDef m:val="false"/>
    <m:lMargin m:val="0"/>
    <m:rMargin m:val="0"/>
    <m:defJc m:val="center"/>
    <m:wrapIndent m:val="1440"/>
    <m:intLim m:val="subSup"/>
    <m:naryLim m:val="undOvr"/>
  </m:mathPr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Calibri"/>
        <w:sz w:val="22"/>
        <w:szCs w:val="22"/>
        <w:u w:val="none"/>
        <w:lang w:val="ru-RU" w:bidi="ru-RU"/>
      </w:rPr>
    </w:rPrDefault>
    <w:pPrDefault>
      <w:pPr>
        <w:spacing w:after="200" w:before="0" w:line="276" w:lineRule="auto"/>
        <w:ind w:right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0" w:default="1">
    <w:name w:val="Normal"/>
    <w:uiPriority w:val="0"/>
    <w:qFormat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Calibri" w:hAnsi="Calibri" w:eastAsia="Calibri" w:cs="Calibri"/>
      <w:sz w:val="22"/>
      <w:szCs w:val="22"/>
      <w:u w:val="none"/>
      <w:cs w:val="0"/>
      <w:lang w:val="ru-RU" w:bidi="ru-RU"/>
    </w:rPr>
  </w:style>
  <w:style w:type="paragraph" w:styleId="Style_1">
    <w:name w:val="heading 1"/>
    <w:basedOn w:val="Style_0"/>
    <w:qFormat/>
    <w:pPr>
      <w:keepNext w:val="true"/>
      <w:spacing w:after="0" w:before="0" w:line="240" w:lineRule="auto"/>
      <w:ind w:right="0" w:left="0"/>
      <w:jc w:val="left"/>
      <w:outlineLvl w:val="0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Calibri" w:hAnsi="Calibri" w:eastAsia="Calibri" w:cs="Calibri"/>
      <w:sz w:val="28"/>
      <w:szCs w:val="28"/>
      <w:u w:val="none"/>
      <w:cs w:val="0"/>
      <w:lang w:val="ru-RU" w:bidi="ru-RU"/>
    </w:rPr>
  </w:style>
  <w:style w:type="paragraph" w:styleId="Style_2">
    <w:name w:val="heading 2"/>
    <w:basedOn w:val="Style_0"/>
    <w:uiPriority w:val="9"/>
    <w:semiHidden/>
    <w:unhideWhenUsed/>
    <w:qFormat/>
    <w:locked/>
    <w:pPr>
      <w:keepNext w:val="true"/>
      <w:spacing w:after="60" w:before="240" w:line="276" w:lineRule="auto"/>
      <w:ind w:right="0" w:left="0"/>
      <w:jc w:val="left"/>
      <w:outlineLvl w:val="1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b/>
      <w:bCs/>
      <w:i/>
      <w:iCs/>
      <w:sz w:val="28"/>
      <w:szCs w:val="28"/>
      <w:u w:val="none"/>
      <w:cs w:val="0"/>
      <w:lang w:val="ru-RU" w:bidi="ru-RU"/>
    </w:rPr>
  </w:style>
  <w:style w:type="paragraph" w:styleId="Style_3">
    <w:name w:val="heading 3"/>
    <w:basedOn w:val="Style_0"/>
    <w:qFormat/>
    <w:pPr>
      <w:keepNext w:val="true"/>
      <w:spacing w:after="0" w:before="0" w:line="240" w:lineRule="auto"/>
      <w:ind w:right="0" w:left="0"/>
      <w:jc w:val="center"/>
      <w:outlineLvl w:val="2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Calibri" w:hAnsi="Calibri" w:eastAsia="Calibri" w:cs="Calibri"/>
      <w:b/>
      <w:bCs/>
      <w:sz w:val="32"/>
      <w:szCs w:val="32"/>
      <w:u w:val="none"/>
      <w:cs w:val="0"/>
      <w:lang w:val="ru-RU" w:bidi="ru-RU"/>
    </w:rPr>
  </w:style>
  <w:style w:type="character" w:styleId="Style_10">
    <w:name w:val="Default Paragraph Font"/>
    <w:semiHidden/>
    <w:rPr>
      <w:rFonts w:ascii="Calibri" w:hAnsi="Calibri" w:eastAsia="Calibri" w:cs="Calibri"/>
      <w:sz w:val="24"/>
      <w:szCs w:val="24"/>
      <w:u w:val="none"/>
      <w:lang w:val="ru-RU" w:bidi="ru-RU"/>
    </w:rPr>
  </w:style>
  <w:style w:type="table" w:styleId="Style_11">
    <w:name w:val="Normal Table"/>
    <w:semiHidden/>
    <w:unhideWhenUsed/>
    <w:qFormat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Calibri" w:hAnsi="Calibri" w:eastAsia="Calibri" w:cs="Calibri"/>
      <w:sz w:val="22"/>
      <w:szCs w:val="22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fixed"/>
    </w:tblPr>
  </w:style>
  <w:style w:type="character" w:styleId="Style_15">
    <w:name w:val="Заголовок 1 Знак"/>
    <w:basedOn w:val="Style_10"/>
    <w:locked/>
    <w:rPr>
      <w:rFonts w:ascii="Times New Roman" w:hAnsi="Times New Roman" w:eastAsia="Times New Roman" w:cs="Times New Roman"/>
      <w:sz w:val="20"/>
      <w:szCs w:val="20"/>
      <w:u w:val="none"/>
      <w:cs w:val="0"/>
      <w:lang w:val="ru-RU" w:bidi="ru-RU"/>
    </w:rPr>
  </w:style>
  <w:style w:type="character" w:styleId="Style_16">
    <w:name w:val="Заголовок 2 Знак"/>
    <w:basedOn w:val="Style_10"/>
    <w:uiPriority w:val="9"/>
    <w:semiHidden/>
    <w:locked/>
    <w:rPr>
      <w:rFonts w:ascii="Times New Roman" w:hAnsi="Times New Roman" w:eastAsia="Times New Roman" w:cs="Times New Roman"/>
      <w:b/>
      <w:bCs/>
      <w:i/>
      <w:iCs/>
      <w:sz w:val="28"/>
      <w:szCs w:val="28"/>
      <w:u w:val="none"/>
      <w:cs w:val="0"/>
      <w:lang w:val="ru-RU" w:bidi="ru-RU"/>
    </w:rPr>
  </w:style>
  <w:style w:type="character" w:styleId="Style_17">
    <w:name w:val="Заголовок 3 Знак"/>
    <w:basedOn w:val="Style_10"/>
    <w:locked/>
    <w:rPr>
      <w:rFonts w:ascii="Times New Roman" w:hAnsi="Times New Roman" w:eastAsia="Times New Roman" w:cs="Times New Roman"/>
      <w:b/>
      <w:bCs/>
      <w:sz w:val="20"/>
      <w:szCs w:val="20"/>
      <w:u w:val="none"/>
      <w:cs w:val="0"/>
      <w:lang w:val="ru-RU" w:bidi="ru-RU"/>
    </w:rPr>
  </w:style>
  <w:style w:type="paragraph" w:styleId="Style_18">
    <w:name w:val="Normal (Web)"/>
    <w:basedOn w:val="Style_0"/>
    <w:pPr>
      <w:spacing w:after="75" w:before="75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rial" w:hAnsi="Arial" w:eastAsia="Arial" w:cs="Arial"/>
      <w:color w:val="000000"/>
      <w:sz w:val="20"/>
      <w:szCs w:val="20"/>
      <w:u w:val="none"/>
      <w:cs w:val="0"/>
      <w:lang w:val="ru-RU" w:bidi="ru-RU"/>
    </w:rPr>
  </w:style>
  <w:style w:type="paragraph" w:styleId="Style_19">
    <w:name w:val="Balloon Text"/>
    <w:basedOn w:val="Style_0"/>
    <w:semiHidden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ahoma" w:hAnsi="Tahoma" w:eastAsia="Tahoma" w:cs="Tahoma"/>
      <w:sz w:val="16"/>
      <w:szCs w:val="16"/>
      <w:u w:val="none"/>
      <w:cs w:val="0"/>
      <w:lang w:val="ru-RU" w:bidi="ru-RU"/>
    </w:rPr>
  </w:style>
  <w:style w:type="character" w:styleId="Style_20">
    <w:name w:val="Текст выноски Знак"/>
    <w:basedOn w:val="Style_10"/>
    <w:semiHidden/>
    <w:locked/>
    <w:rPr>
      <w:rFonts w:ascii="Tahoma" w:hAnsi="Tahoma" w:eastAsia="Tahoma" w:cs="Tahoma"/>
      <w:sz w:val="16"/>
      <w:szCs w:val="16"/>
      <w:u w:val="none"/>
      <w:cs w:val="0"/>
      <w:lang w:val="ru-RU" w:bidi="ru-RU"/>
    </w:rPr>
  </w:style>
  <w:style w:type="paragraph" w:styleId="Style_21">
    <w:name w:val="List Paragraph"/>
    <w:basedOn w:val="Style_0"/>
    <w:qFormat/>
    <w:pPr>
      <w:spacing w:after="200" w:before="0" w:line="276" w:lineRule="auto"/>
      <w:ind w:right="0" w:left="72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Calibri" w:hAnsi="Calibri" w:eastAsia="Calibri" w:cs="Calibri"/>
      <w:sz w:val="22"/>
      <w:szCs w:val="22"/>
      <w:u w:val="none"/>
      <w:cs w:val="0"/>
      <w:lang w:val="ru-RU" w:bidi="ru-RU"/>
    </w:rPr>
  </w:style>
  <w:style w:type="paragraph" w:styleId="Style_22">
    <w:name w:val="No Spacing"/>
    <w:uiPriority w:val="1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Calibri" w:hAnsi="Calibri" w:eastAsia="Calibri" w:cs="Calibri"/>
      <w:sz w:val="22"/>
      <w:szCs w:val="22"/>
      <w:u w:val="none"/>
      <w:cs w:val="0"/>
      <w:lang w:val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782</TotalTime>
  <Pages>8</Pages>
  <Words>2550</Words>
  <CharactersWithSpaces>19610</CharactersWithSpaces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Admin</dc:creator>
  <cp:lastModifiedBy/>
</cp:coreProperties>
</file>