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120"/>
        <w:contextualSpacing/>
        <w:rPr>
          <w:b/>
          <w:color w:val="000000"/>
        </w:rPr>
      </w:pPr>
      <w:r>
        <w:rPr>
          <w:b/>
          <w:color w:val="000000"/>
        </w:rPr>
        <w:t xml:space="preserve">НОВОАЛТАЙСКАЯ</w:t>
      </w:r>
      <w:r>
        <w:rPr>
          <w:b/>
          <w:color w:val="000000"/>
        </w:rPr>
        <w:t xml:space="preserve"> ГОРОДСКАЯ</w:t>
      </w:r>
    </w:p>
    <w:p>
      <w:pPr>
        <w:pStyle w:val="Normal"/>
        <w:spacing w:after="120"/>
        <w:contextualSpacing/>
        <w:rPr>
          <w:b/>
        </w:rPr>
      </w:pPr>
      <w:r>
        <w:rPr>
          <w:b/>
          <w:color w:val="000000"/>
        </w:rPr>
        <w:t xml:space="preserve">ТЕРРИТОРИАЛЬНАЯ ИЗБИРАТЕЛЬНАЯ КОМИССИЯ</w:t>
      </w:r>
      <w:r>
        <w:rPr>
          <w:b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t xml:space="preserve">РЕШЕНИЕ</w:t>
      </w:r>
    </w:p>
    <w:p>
      <w:pPr>
        <w:pStyle w:val="UserStyle_5"/>
        <w:keepNext w:val="0"/>
        <w:outlineLvl w:val="9"/>
        <w:rPr>
          <w:rFonts w:ascii="ༀЀ" w:hAnsi="ༀЀ"/>
          <w:color w:val="000000"/>
          <w:szCs w:val="28"/>
        </w:rPr>
      </w:pPr>
      <w:r>
        <w:rPr>
          <w:rFonts w:ascii="ༀЀ" w:hAnsi="ༀЀ"/>
          <w:color w:val="000000"/>
          <w:szCs w:val="28"/>
        </w:rPr>
      </w:r>
    </w:p>
    <w:tbl>
      <w:tblPr>
        <w:tblW w:w="9589" w:type="dxa"/>
        <w:jc w:val="center"/>
        <w:tblInd w:w="-79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3114"/>
        <w:gridCol w:w="3107"/>
        <w:gridCol w:w="3368"/>
      </w:tblGrid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31</w:t>
            </w:r>
            <w:r>
              <w:rPr>
                <w:color w:val="000000"/>
              </w:rPr>
              <w:t xml:space="preserve"> июля 2025 г.</w:t>
            </w:r>
            <w:r>
              <w:rPr>
                <w:color w:val="000000"/>
              </w:rPr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94/435</w:t>
            </w:r>
            <w:r>
              <w:rPr>
                <w:color w:val="000000"/>
              </w:rPr>
            </w:r>
          </w:p>
        </w:tc>
      </w:tr>
      <w:tr>
        <w:trPr/>
        <w:tc>
          <w:tcPr>
            <w:tcW w:w="311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10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 xml:space="preserve">Новоалтайск</w:t>
            </w:r>
            <w:r>
              <w:rPr>
                <w:color w:val="000000"/>
              </w:rPr>
            </w:r>
          </w:p>
        </w:tc>
        <w:tc>
          <w:tcPr>
            <w:tcW w:w="33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</w:pP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</w:tblGrid>
      <w:t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right="33" w:firstLine="459"/>
              <w:jc w:val="both"/>
              <w:rPr>
                <w:i/>
                <w:color w:val="2d2d2d"/>
              </w:rPr>
            </w:pPr>
            <w:r>
              <w:t xml:space="preserve">О назначении ответственных лиц для контроля за изготовлением и передачей в избирательные комиссии избирательных бюллетеней для голосования на </w:t>
            </w:r>
            <w:r>
              <w:t xml:space="preserve">дополнительных </w:t>
            </w:r>
            <w:r>
              <w:t xml:space="preserve">выборах </w:t>
            </w:r>
            <w:r>
              <w:t xml:space="preserve">депутата Новоалтайского городского Собрания депутатов Алтайского края восьмого созыва по одномандатному избирательному округу № 16</w:t>
            </w:r>
            <w:r>
              <w:rPr>
                <w:i/>
                <w:color w:val="2d2d2d"/>
              </w:rPr>
            </w:r>
          </w:p>
        </w:tc>
      </w:tr>
    </w:tbl>
    <w:p>
      <w:pPr>
        <w:pStyle w:val="Normal"/>
      </w:pPr>
    </w:p>
    <w:p>
      <w:pPr>
        <w:pStyle w:val="Header"/>
        <w:tabs>
          <w:tab w:val="clear" w:pos="4677"/>
          <w:tab w:val="clear" w:pos="9355"/>
        </w:tabs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63 Федерального закона от 12 июня 2002 года </w:t>
      </w:r>
      <w:r>
        <w:rPr>
          <w:sz w:val="28"/>
        </w:rPr>
        <w:t xml:space="preserve">          </w:t>
      </w:r>
      <w:r>
        <w:rPr>
          <w:sz w:val="28"/>
        </w:rPr>
        <w:t xml:space="preserve">№ 67-ФЗ «Об основных гарантиях избирательных прав и права на участие в референдуме граждан Российской Федерации», статьей 92 Кодекса Алтайского края о выборах и референдумах от 8 июля 2003 года № 35-ЗС, на основании решения Избирательной комиссии Алтайского края </w:t>
      </w:r>
      <w:r>
        <w:rPr>
          <w:sz w:val="28"/>
        </w:rPr>
        <w:t xml:space="preserve">от 27 апреля 2022 года № 7/61-8 «О полномочиях территориальных избирательных комиссий при организации подготовки и проведения выборов в органы местного самоуправления, местного референдума», которым на Новоалтайскую городскую территориальную избирательную комиссию возложено исполнение полномочий по подготовке и проведению выборов в органы местного самоуправления, Новоалтайская городская территориальная избирательная  комиссия </w:t>
      </w:r>
    </w:p>
    <w:p>
      <w:pPr>
        <w:pStyle w:val="Normal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92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9923"/>
      </w:tblGrid>
      <w:tr>
        <w:trPr>
          <w:cantSplit/>
        </w:trPr>
        <w:tc>
          <w:tcPr>
            <w:tcW w:w="992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9"/>
              </w:rPr>
            </w:pPr>
            <w:r>
              <w:rPr>
                <w:b/>
                <w:sz w:val="29"/>
              </w:rPr>
              <w:t xml:space="preserve">РЕШИЛА:</w:t>
            </w:r>
            <w:r>
              <w:rPr>
                <w:sz w:val="29"/>
              </w:rPr>
            </w:r>
          </w:p>
        </w:tc>
      </w:tr>
    </w:tbl>
    <w:p>
      <w:pPr>
        <w:pStyle w:val="Normal"/>
        <w:ind w:firstLine="709"/>
        <w:jc w:val="both"/>
      </w:pPr>
      <w:r>
        <w:t xml:space="preserve">1. Назначить ответственных лиц для контроля за изготовлением и передачей в избирательные комиссии избирательных бюллетеней для голосования на </w:t>
      </w:r>
      <w:r>
        <w:t xml:space="preserve">дополнительных выборах депутата Новоалтайского городского Собрания депутатов Алтайского края восьмого созыва по одномандатному избирательному округу № 16</w:t>
      </w:r>
      <w:r>
        <w:rPr>
          <w:i/>
        </w:rPr>
        <w:t xml:space="preserve"> </w:t>
      </w:r>
      <w:r>
        <w:t xml:space="preserve">(далее – избирательные бюллетени), назначенных на </w:t>
      </w:r>
      <w:r>
        <w:t xml:space="preserve">14 сентября </w:t>
      </w:r>
      <w:r>
        <w:t xml:space="preserve">20</w:t>
      </w:r>
      <w:r>
        <w:t xml:space="preserve">25</w:t>
      </w:r>
      <w:r>
        <w:t xml:space="preserve"> года (далее – ответственные лица):</w:t>
      </w:r>
    </w:p>
    <w:p>
      <w:pPr>
        <w:pStyle w:val="179"/>
        <w:numPr>
          <w:numId w:val="2"/>
          <w:ilvl w:val="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Гладкова Ольга Васильевна, председатель комиссии;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pStyle w:val="179"/>
        <w:numPr>
          <w:numId w:val="2"/>
          <w:ilvl w:val="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Артемов Андрей Владимирович, заместитель председателя комиссии;</w:t>
      </w:r>
    </w:p>
    <w:p>
      <w:pPr>
        <w:pStyle w:val="179"/>
        <w:numPr>
          <w:numId w:val="2"/>
          <w:ilvl w:val="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Зеленцов Александр Владимирович, член комиссии с правом решающего голоса;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pStyle w:val="179"/>
        <w:numPr>
          <w:numId w:val="2"/>
          <w:ilvl w:val="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Кербер Светлана Викторовна, член комиссии с правом решающего голоса.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pStyle w:val="Normal"/>
        <w:ind w:firstLine="709"/>
        <w:jc w:val="both"/>
      </w:pPr>
      <w:r>
        <w:t xml:space="preserve">2. Поручить ответственным лицам обеспечить контроль за изготовлением </w:t>
      </w:r>
      <w:r>
        <w:t xml:space="preserve">ИП Стукалова Наталья Александровна (Рекламное агентство «Салют») </w:t>
      </w:r>
      <w:r>
        <w:t xml:space="preserve">избирательных бюллетеней на всех этапах, включая проверку бумаги для изготовления избирательных бюллетеней на соответствие установленным решением </w:t>
      </w:r>
      <w:r>
        <w:t xml:space="preserve">Новоалтайской городской территориальной избирательной комиссии </w:t>
      </w:r>
      <w:r>
        <w:t xml:space="preserve">требованиям, проверку форм и текстов</w:t>
      </w:r>
      <w:r>
        <w:t xml:space="preserve"> </w:t>
      </w:r>
      <w:r>
        <w:t xml:space="preserve">избирательных бюллетеней, проверку процесса печатания избирательных бюллетеней, а также получение  </w:t>
      </w:r>
      <w:r>
        <w:t xml:space="preserve">Новоалтайской городской территориальной избирательной комиссией </w:t>
      </w:r>
      <w:r>
        <w:t xml:space="preserve">от</w:t>
      </w:r>
      <w:r>
        <w:t xml:space="preserve"> ИП Стукалова Наталья Александровна (Рекламное агентство «Салют»), </w:t>
      </w:r>
      <w:r>
        <w:t xml:space="preserve">изготовленных избирательных бюллетеней, уничтожение лишних и выбракованных избирательных бюллетеней, передачу избирательных бюллетеней нижестоящим избирательным комиссиям.</w:t>
      </w:r>
    </w:p>
    <w:p>
      <w:pPr>
        <w:pStyle w:val="Normal"/>
        <w:ind w:firstLine="709"/>
        <w:jc w:val="both"/>
        <w:rPr>
          <w:i/>
        </w:rPr>
      </w:pPr>
      <w:r>
        <w:t xml:space="preserve">3. Направить настоящее решение в нижестоящие избирательные комиссии и </w:t>
      </w:r>
      <w:r>
        <w:t xml:space="preserve">ИП Стукалова Наталья Александровна (Рекламное агентство «Салют»).</w:t>
      </w:r>
      <w:r>
        <w:rPr>
          <w:i/>
        </w:rPr>
      </w:r>
    </w:p>
    <w:p>
      <w:pPr>
        <w:pStyle w:val="Normal"/>
        <w:shd w:val="clear" w:color="auto" w:fill="ffffff"/>
        <w:ind w:firstLine="709"/>
        <w:jc w:val="both"/>
      </w:pPr>
      <w:r>
        <w:rPr>
          <w:color w:val="2d2d2d"/>
        </w:rPr>
        <w:t xml:space="preserve">4. </w:t>
      </w:r>
      <w:r>
        <w:rPr>
          <w:color w:val="2d2d2d"/>
        </w:rPr>
        <w:t xml:space="preserve">Р</w:t>
      </w:r>
      <w:r>
        <w:t xml:space="preserve">азместить настоящее решение на </w:t>
      </w:r>
      <w:r>
        <w:t xml:space="preserve">официальном сайте города Новоалтайска в сети «Интернет»</w:t>
      </w:r>
      <w:r>
        <w:t xml:space="preserve">.</w:t>
      </w:r>
    </w:p>
    <w:p>
      <w:pPr>
        <w:pStyle w:val="Normal"/>
        <w:shd w:val="clear" w:color="auto" w:fill="ffffff"/>
        <w:ind w:firstLine="709"/>
        <w:jc w:val="both"/>
      </w:pPr>
    </w:p>
    <w:p>
      <w:pPr>
        <w:pStyle w:val="Normal"/>
        <w:jc w:val="both"/>
      </w:pP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985"/>
        <w:gridCol w:w="2268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Председатель </w:t>
            </w:r>
          </w:p>
        </w:tc>
        <w:tc>
          <w:tcPr>
            <w:tcW w:w="19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22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  <w:rPr>
                <w:b/>
              </w:rPr>
            </w:pPr>
            <w:r>
              <w:t xml:space="preserve">О</w:t>
            </w:r>
            <w:r>
              <w:t xml:space="preserve">.</w:t>
            </w:r>
            <w:r>
              <w:t xml:space="preserve">В</w:t>
            </w:r>
            <w:r>
              <w:t xml:space="preserve">. </w:t>
            </w:r>
            <w:r>
              <w:t xml:space="preserve">Гладкова</w:t>
            </w:r>
            <w:r>
              <w:rPr>
                <w:b/>
              </w:rPr>
            </w:r>
          </w:p>
        </w:tc>
      </w:tr>
    </w:tbl>
    <w:p>
      <w:pPr>
        <w:pStyle w:val="Normal"/>
        <w:jc w:val="both"/>
      </w:pPr>
    </w:p>
    <w:p>
      <w:pPr>
        <w:pStyle w:val="Normal"/>
        <w:jc w:val="both"/>
      </w:pPr>
    </w:p>
    <w:tbl>
      <w:tblPr>
        <w:tblW w:w="9498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45"/>
        <w:gridCol w:w="1985"/>
        <w:gridCol w:w="2268"/>
      </w:tblGrid>
      <w:tr>
        <w:trPr>
          <w:cantSplit/>
        </w:trPr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Секретарь </w:t>
            </w:r>
          </w:p>
        </w:tc>
        <w:tc>
          <w:tcPr>
            <w:tcW w:w="19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22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left"/>
            </w:pPr>
            <w:r>
              <w:t xml:space="preserve">Н</w:t>
            </w:r>
            <w:r>
              <w:t xml:space="preserve">.</w:t>
            </w:r>
            <w:r>
              <w:t xml:space="preserve">А</w:t>
            </w:r>
            <w:r>
              <w:t xml:space="preserve">. </w:t>
            </w:r>
            <w:r>
              <w:t xml:space="preserve">Гамаюнова</w:t>
            </w:r>
          </w:p>
        </w:tc>
      </w:tr>
    </w:tbl>
    <w:sectPr>
      <w:footnotePr>
        <w:numFmt w:val="chicago"/>
      </w:footnotePr>
      <w:type w:val="continuous"/>
      <w:pgSz w:w="11906" w:h="16838"/>
      <w:pgMar w:top="851" w:right="567" w:bottom="1134" w:left="1701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ༀЀ">
    <w:panose1 w:val="02000603000000000000"/>
  </w:font>
  <w:font w:name="Calibri">
    <w:panose1 w:val="020F0502020204030204"/>
  </w:font>
  <w:font w:name="Times New Roman CYR">
    <w:panose1 w:val="02000603000000000000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  <w:rPr>
        <w:i w:val="0"/>
        <w:sz w:val="26"/>
        <w:szCs w:val="26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jc w:val="center"/>
    </w:pPr>
    <w:rPr>
      <w:sz w:val="28"/>
      <w:szCs w:val="28"/>
      <w:lang w:val="ru-RU" w:eastAsia="ru-RU" w:bidi="ar-SA"/>
    </w:rPr>
  </w:style>
  <w:style w:type="paragraph" w:styleId="Heading2">
    <w:name w:val="Заголовок 2"/>
    <w:basedOn w:val="Normal"/>
    <w:next w:val="Normal"/>
    <w:link w:val="Normal"/>
    <w:qFormat/>
    <w:pPr>
      <w:keepNext/>
      <w:jc w:val="both"/>
      <w:outlineLvl w:val="1"/>
    </w:pPr>
    <w:rPr>
      <w:szCs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Caption">
    <w:name w:val="Название объекта"/>
    <w:basedOn w:val="Normal"/>
    <w:next w:val="Normal"/>
    <w:link w:val="Normal"/>
    <w:qFormat/>
    <w:pPr>
      <w:jc w:val="left"/>
    </w:pPr>
    <w:rPr>
      <w:sz w:val="24"/>
      <w:szCs w:val="20"/>
    </w:rPr>
  </w:style>
  <w:style w:type="table" w:styleId="TableGrid">
    <w:name w:val="Сетка таблицы"/>
    <w:basedOn w:val="TableNormal"/>
    <w:next w:val="TableGrid"/>
    <w:link w:val="Normal"/>
  </w:style>
  <w:style w:type="paragraph" w:styleId="BodyText">
    <w:name w:val="Основной текст"/>
    <w:basedOn w:val="Normal"/>
    <w:next w:val="BodyText"/>
    <w:link w:val="Normal"/>
    <w:pPr>
      <w:spacing w:after="120"/>
    </w:pPr>
    <w:rPr>
      <w:szCs w:val="24"/>
    </w:rPr>
  </w:style>
  <w:style w:type="paragraph" w:styleId="Header">
    <w:name w:val="Верхний колонтитул"/>
    <w:basedOn w:val="Normal"/>
    <w:next w:val="Header"/>
    <w:link w:val="UserStyle_0"/>
    <w:uiPriority w:val="99"/>
    <w:pPr>
      <w:tabs>
        <w:tab w:val="center" w:pos="4677" w:leader="none"/>
        <w:tab w:val="right" w:pos="9355" w:leader="none"/>
      </w:tabs>
    </w:pPr>
    <w:rPr>
      <w:sz w:val="22"/>
    </w:rPr>
  </w:style>
  <w:style w:type="character" w:styleId="UserStyle_0">
    <w:name w:val="Верхний колонтитул Знак"/>
    <w:next w:val="UserStyle_0"/>
    <w:link w:val="Header"/>
    <w:uiPriority w:val="99"/>
    <w:rPr>
      <w:sz w:val="22"/>
      <w:szCs w:val="28"/>
      <w:lang w:val="ru-RU" w:eastAsia="ru-RU" w:bidi="ar-SA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UserStyle_2">
    <w:name w:val="Загл.14"/>
    <w:basedOn w:val="Normal"/>
    <w:next w:val="UserStyle_2"/>
    <w:link w:val="Normal"/>
    <w:rPr>
      <w:rFonts w:ascii="Times New Roman CYR" w:hAnsi="Times New Roman CYR"/>
      <w:b/>
      <w:szCs w:val="20"/>
    </w:rPr>
  </w:style>
  <w:style w:type="paragraph" w:styleId="UserStyle_3">
    <w:name w:val="Знак"/>
    <w:basedOn w:val="Normal"/>
    <w:next w:val="UserStyle_3"/>
    <w:link w:val="Normal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User">
    <w:name w:val="Без интервала"/>
    <w:next w:val="User"/>
    <w:link w:val="Normal"/>
    <w:uiPriority w:val="1"/>
    <w:qFormat/>
    <w:pPr>
      <w:jc w:val="center"/>
    </w:pPr>
    <w:rPr>
      <w:sz w:val="28"/>
      <w:szCs w:val="28"/>
      <w:lang w:val="ru-RU" w:eastAsia="ru-RU" w:bidi="ar-SA"/>
    </w:rPr>
  </w:style>
  <w:style w:type="paragraph" w:styleId="FootnoteText">
    <w:name w:val="Текст сноски"/>
    <w:basedOn w:val="Normal"/>
    <w:next w:val="FootnoteText"/>
    <w:link w:val="UserStyle_4"/>
    <w:uiPriority w:val="99"/>
    <w:rPr>
      <w:sz w:val="20"/>
      <w:szCs w:val="20"/>
    </w:rPr>
  </w:style>
  <w:style w:type="character" w:styleId="UserStyle_4">
    <w:name w:val="Текст сноски Знак"/>
    <w:basedOn w:val="NormalCharacter"/>
    <w:next w:val="UserStyle_4"/>
    <w:link w:val="FootnoteText"/>
    <w:uiPriority w:val="99"/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character" w:styleId="EndnoteReference">
    <w:name w:val="Знак концевой сноски"/>
    <w:next w:val="EndnoteReference"/>
    <w:link w:val="Normal"/>
    <w:rPr>
      <w:vertAlign w:val="superscript"/>
    </w:rPr>
  </w:style>
  <w:style w:type="paragraph" w:styleId="UserStyle_5">
    <w:name w:val="заголовок 1"/>
    <w:basedOn w:val="Normal"/>
    <w:next w:val="Normal"/>
    <w:link w:val="Normal"/>
    <w:pPr>
      <w:keepNext/>
      <w:outlineLvl w:val="0"/>
    </w:pPr>
    <w:rPr>
      <w:szCs w:val="20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2520</Characters>
  <CharactersWithSpaces>2956</CharactersWithSpaces>
  <Company>ИКСРФ22</Company>
  <DocSecurity>0</DocSecurity>
  <HyperlinksChanged>false</HyperlinksChanged>
  <Lines>21</Lines>
  <Pages>2</Pages>
  <Paragraphs>5</Paragraphs>
  <ScaleCrop>false</ScaleCrop>
  <SharedDoc>false</SharedDoc>
  <Template>Normal</Template>
  <Words>441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Плишанкова Н.М.</dc:creator>
  <cp:lastModifiedBy>admins</cp:lastModifiedBy>
  <cp:revision>5</cp:revision>
  <dcterms:created xsi:type="dcterms:W3CDTF">2025-07-31T07:09:00Z</dcterms:created>
  <dcterms:modified xsi:type="dcterms:W3CDTF">2025-08-01T02:28:00Z</dcterms:modified>
  <cp:version>786432</cp:version>
</cp:coreProperties>
</file>