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120"/>
        <w:contextualSpacing/>
        <w:rPr>
          <w:b/>
          <w:color w:val="000000"/>
        </w:rPr>
      </w:pPr>
      <w:r>
        <w:rPr>
          <w:b/>
          <w:color w:val="000000"/>
        </w:rPr>
        <w:t xml:space="preserve">НОВОАЛТАЙСКАЯ</w:t>
      </w:r>
      <w:r>
        <w:rPr>
          <w:b/>
          <w:color w:val="000000"/>
        </w:rPr>
        <w:t xml:space="preserve"> ГОРОДСКАЯ</w:t>
      </w:r>
    </w:p>
    <w:p>
      <w:pPr>
        <w:pStyle w:val="Normal"/>
        <w:spacing w:after="120"/>
        <w:contextualSpacing/>
        <w:rPr>
          <w:b/>
        </w:rPr>
      </w:pPr>
      <w:r>
        <w:rPr>
          <w:b/>
          <w:color w:val="000000"/>
        </w:rPr>
        <w:t xml:space="preserve">ТЕРРИТОРИАЛЬНАЯ ИЗБИРАТЕЛЬНАЯ КОМИССИЯ</w:t>
      </w:r>
      <w:r>
        <w:rPr>
          <w:b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 xml:space="preserve">РЕШЕНИЕ</w:t>
      </w:r>
    </w:p>
    <w:p>
      <w:pPr>
        <w:pStyle w:val="UserStyle_7"/>
        <w:keepNext w:val="0"/>
        <w:outlineLvl w:val="9"/>
        <w:rPr>
          <w:rFonts w:ascii="ༀЀ" w:hAnsi="ༀЀ"/>
          <w:color w:val="000000"/>
          <w:szCs w:val="28"/>
        </w:rPr>
      </w:pPr>
      <w:r>
        <w:rPr>
          <w:rFonts w:ascii="ༀЀ" w:hAnsi="ༀЀ"/>
          <w:color w:val="000000"/>
          <w:szCs w:val="28"/>
        </w:rPr>
      </w:r>
    </w:p>
    <w:tbl>
      <w:tblPr>
        <w:tblW w:w="9589" w:type="dxa"/>
        <w:jc w:val="center"/>
        <w:tblInd w:w="-7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14"/>
        <w:gridCol w:w="3107"/>
        <w:gridCol w:w="3368"/>
      </w:tblGrid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24</w:t>
            </w:r>
            <w:r>
              <w:rPr>
                <w:color w:val="000000"/>
              </w:rPr>
              <w:t xml:space="preserve"> июля 2025 г.</w:t>
            </w:r>
            <w:r>
              <w:rPr>
                <w:color w:val="000000"/>
              </w:rPr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93/430</w:t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Новоалтайск</w:t>
            </w:r>
            <w:r>
              <w:rPr>
                <w:color w:val="000000"/>
              </w:rPr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0" w:type="auto"/>
        <w:jc w:val="center"/>
        <w:tblInd w:w="881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951"/>
      </w:tblGrid>
      <w:tr>
        <w:trPr>
          <w:trHeight w:val="1224"/>
        </w:trPr>
        <w:tc>
          <w:tcPr>
            <w:tcW w:w="495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ind w:firstLine="312"/>
              <w:jc w:val="both"/>
              <w:rPr>
                <w:i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О регистрации уполномоченного  представителя  избирательного объединения </w:t>
            </w: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      </w:r>
            <w:r>
              <w:rPr>
                <w:sz w:val="26"/>
                <w:szCs w:val="26"/>
              </w:rPr>
              <w:t xml:space="preserve">»</w:t>
            </w:r>
            <w:r>
              <w:rPr>
                <w:i/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</w:pPr>
    </w:p>
    <w:p>
      <w:pPr>
        <w:pStyle w:val="Normal"/>
        <w:widowControl w:val="off"/>
        <w:ind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Рассмотрев документы, представленные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Новоалтайскую городскую территориальную избирательную комиссию </w:t>
      </w:r>
      <w:r>
        <w:rPr>
          <w:sz w:val="26"/>
          <w:szCs w:val="26"/>
        </w:rPr>
        <w:t xml:space="preserve">для регистрации уполномоченных представителей избирательного объединения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</w:r>
      <w:r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со </w:t>
      </w:r>
      <w:r>
        <w:rPr>
          <w:sz w:val="26"/>
          <w:szCs w:val="26"/>
        </w:rPr>
        <w:t xml:space="preserve">статьей </w:t>
      </w:r>
      <w:r>
        <w:rPr>
          <w:sz w:val="26"/>
          <w:szCs w:val="26"/>
        </w:rPr>
        <w:t xml:space="preserve">62 Кодекса Алтайского края о выборах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референдум</w:t>
      </w:r>
      <w:r>
        <w:rPr>
          <w:sz w:val="26"/>
          <w:szCs w:val="26"/>
        </w:rPr>
        <w:t xml:space="preserve">ах </w:t>
      </w:r>
      <w:r>
        <w:rPr>
          <w:sz w:val="26"/>
          <w:szCs w:val="26"/>
        </w:rPr>
        <w:t xml:space="preserve">от 8 июля 2003 года № 35-ЗС и на основании </w:t>
      </w:r>
      <w:r>
        <w:rPr>
          <w:sz w:val="26"/>
          <w:szCs w:val="26"/>
        </w:rPr>
        <w:t xml:space="preserve">решения Избирательной комиссии Алтайского края от 27 апреля 2022 года № 7/61-8 «О полномочиях территориальных избирательных комиссий при организации подготовки и проведения выборов в органы местного самоуправления, местного референдума</w:t>
      </w:r>
      <w:r>
        <w:rPr>
          <w:sz w:val="26"/>
          <w:szCs w:val="26"/>
        </w:rPr>
        <w:t xml:space="preserve">»</w:t>
      </w:r>
      <w:r>
        <w:rPr>
          <w:rStyle w:val="FootnoteReference"/>
          <w:sz w:val="26"/>
          <w:szCs w:val="26"/>
          <w:vertAlign w:val="baseline"/>
        </w:rPr>
        <w:t xml:space="preserve">, которым</w:t>
      </w:r>
      <w:r>
        <w:rPr>
          <w:rStyle w:val="FootnoteReference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Новоалтайскую городскую территориальную комиссию </w:t>
      </w:r>
      <w:r>
        <w:rPr>
          <w:rStyle w:val="FootnoteReference"/>
          <w:sz w:val="26"/>
          <w:szCs w:val="26"/>
          <w:vertAlign w:val="baseline"/>
        </w:rPr>
        <w:t xml:space="preserve">возложено </w:t>
      </w:r>
      <w:r>
        <w:rPr>
          <w:sz w:val="26"/>
          <w:szCs w:val="26"/>
        </w:rPr>
        <w:t xml:space="preserve">исполнение полномочий по подготовке и проведению выборов в органы местного самоуправления, Новоалтайская городская территориальная избирательная комиссия </w:t>
      </w:r>
      <w:r>
        <w:rPr>
          <w:i/>
          <w:sz w:val="26"/>
          <w:szCs w:val="26"/>
        </w:rPr>
      </w:r>
    </w:p>
    <w:p>
      <w:pPr>
        <w:pStyle w:val="Normal"/>
        <w:ind w:firstLine="62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</w: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498"/>
      </w:tblGrid>
      <w:tr>
        <w:trPr>
          <w:cantSplit/>
        </w:trPr>
        <w:tc>
          <w:tcPr>
            <w:tcW w:w="949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b/>
              </w:rPr>
              <w:t xml:space="preserve">РЕШИЛА:</w:t>
            </w:r>
          </w:p>
        </w:tc>
      </w:tr>
    </w:tbl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firstLine="7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Зарегистрировать уполномоченн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избирательного объединения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Клюшникову Людмилу Викторовну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Normal"/>
        <w:ind w:firstLine="7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Выдать уполномоченн</w:t>
      </w:r>
      <w:r>
        <w:rPr>
          <w:sz w:val="26"/>
          <w:szCs w:val="26"/>
        </w:rPr>
        <w:t xml:space="preserve">ому</w:t>
      </w:r>
      <w:r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 избирательного объединения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Новоалтайское городское отделение Алтайского краевого отделения политической партии «КОММУНИСТИЧЕСКАЯ ПАРТИЯ РОССИЙСКОЙ ФЕДЕРАЦИИ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удостоверения установленного образца. 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Направить настоящее решение в нижестоящие избирательные комиссии.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 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азместить настоящее решение на </w:t>
      </w:r>
      <w:r>
        <w:rPr>
          <w:sz w:val="26"/>
          <w:szCs w:val="26"/>
        </w:rPr>
        <w:t xml:space="preserve">официальном </w:t>
      </w:r>
      <w:r>
        <w:rPr>
          <w:sz w:val="26"/>
          <w:szCs w:val="26"/>
        </w:rPr>
        <w:t xml:space="preserve">сайте </w:t>
      </w:r>
      <w:r>
        <w:rPr>
          <w:sz w:val="26"/>
          <w:szCs w:val="26"/>
        </w:rPr>
        <w:t xml:space="preserve">города Новоалтайска в сети «Интернет».</w:t>
      </w: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</w:pP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39"/>
        <w:gridCol w:w="2714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53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. </w:t>
            </w:r>
            <w:r>
              <w:rPr>
                <w:sz w:val="26"/>
                <w:szCs w:val="26"/>
              </w:rPr>
              <w:t xml:space="preserve">Гладкова</w:t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512"/>
        <w:gridCol w:w="2741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15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Н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. </w:t>
            </w:r>
            <w:r>
              <w:rPr>
                <w:sz w:val="26"/>
                <w:szCs w:val="26"/>
              </w:rPr>
              <w:t xml:space="preserve">Гамаюнова</w:t>
            </w:r>
            <w:r>
              <w:rPr>
                <w:sz w:val="26"/>
                <w:szCs w:val="26"/>
              </w:rPr>
            </w:r>
          </w:p>
        </w:tc>
      </w:tr>
    </w:tbl>
    <w:sectPr>
      <w:type w:val="continuous"/>
      <w:pgSz w:w="11906" w:h="16838"/>
      <w:pgMar w:top="426" w:right="851" w:bottom="851" w:left="1701" w:header="567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ༀЀ">
    <w:panose1 w:val="02000603000000000000"/>
  </w:font>
  <w:font w:name="Calibri">
    <w:panose1 w:val="020F0502020204030204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480" w:leader="none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jc w:val="center"/>
    </w:pPr>
    <w:rPr>
      <w:sz w:val="28"/>
      <w:szCs w:val="28"/>
      <w:lang w:val="ru-RU" w:eastAsia="ru-RU" w:bidi="ar-SA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both"/>
      <w:outlineLvl w:val="1"/>
    </w:pPr>
    <w:rPr>
      <w:szCs w:val="24"/>
    </w:rPr>
  </w:style>
  <w:style w:type="paragraph" w:styleId="Heading3">
    <w:name w:val="Заголовок 3"/>
    <w:basedOn w:val="Normal"/>
    <w:next w:val="Normal"/>
    <w:link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Caption">
    <w:name w:val="Название объекта"/>
    <w:basedOn w:val="Normal"/>
    <w:next w:val="Normal"/>
    <w:link w:val="Normal"/>
    <w:qFormat/>
    <w:pPr>
      <w:jc w:val="left"/>
    </w:pPr>
    <w:rPr>
      <w:sz w:val="24"/>
      <w:szCs w:val="20"/>
    </w:rPr>
  </w:style>
  <w:style w:type="table" w:styleId="TableGrid">
    <w:name w:val="Сетка таблицы"/>
    <w:basedOn w:val="TableNormal"/>
    <w:next w:val="TableGrid"/>
    <w:link w:val="Normal"/>
  </w:style>
  <w:style w:type="paragraph" w:styleId="BodyText">
    <w:name w:val="Основной текст"/>
    <w:basedOn w:val="Normal"/>
    <w:next w:val="BodyText"/>
    <w:link w:val="Normal"/>
    <w:pPr>
      <w:spacing w:after="120"/>
    </w:pPr>
    <w:rPr>
      <w:szCs w:val="24"/>
    </w:rPr>
  </w:style>
  <w:style w:type="paragraph" w:styleId="Header">
    <w:name w:val="Верхний колонтитул"/>
    <w:basedOn w:val="Normal"/>
    <w:next w:val="Header"/>
    <w:link w:val="UserStyle_0"/>
    <w:uiPriority w:val="99"/>
    <w:pPr>
      <w:tabs>
        <w:tab w:val="center" w:pos="4677" w:leader="none"/>
        <w:tab w:val="right" w:pos="9355" w:leader="none"/>
      </w:tabs>
    </w:pPr>
    <w:rPr>
      <w:sz w:val="22"/>
    </w:rPr>
  </w:style>
  <w:style w:type="character" w:styleId="UserStyle_0">
    <w:name w:val="Верхний колонтитул Знак"/>
    <w:next w:val="UserStyle_0"/>
    <w:link w:val="Header"/>
    <w:uiPriority w:val="99"/>
    <w:rPr>
      <w:sz w:val="22"/>
      <w:szCs w:val="28"/>
      <w:lang w:val="ru-RU" w:eastAsia="ru-RU" w:bidi="ar-SA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UserStyle_2">
    <w:name w:val="SH"/>
    <w:basedOn w:val="Normal"/>
    <w:next w:val="UserStyle_2"/>
    <w:link w:val="Normal"/>
    <w:pPr>
      <w:ind w:left="510" w:right="510"/>
    </w:pPr>
    <w:rPr>
      <w:snapToGrid w:val="0"/>
      <w:sz w:val="24"/>
      <w:szCs w:val="20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Footer">
    <w:name w:val="Нижний колонтитул"/>
    <w:basedOn w:val="Normal"/>
    <w:next w:val="Footer"/>
    <w:link w:val="UserStyle_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3">
    <w:name w:val="Нижний колонтитул Знак"/>
    <w:next w:val="UserStyle_3"/>
    <w:link w:val="Footer"/>
    <w:rPr>
      <w:sz w:val="28"/>
      <w:szCs w:val="28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paragraph" w:styleId="BodyTextIndent2">
    <w:name w:val="Основной текст с отступом 2"/>
    <w:basedOn w:val="Normal"/>
    <w:next w:val="BodyTextIndent2"/>
    <w:link w:val="UserStyle_4"/>
    <w:pPr>
      <w:spacing w:after="120" w:line="480" w:lineRule="auto"/>
      <w:ind w:left="283"/>
    </w:pPr>
    <w:rPr>
      <w:lang w:val="en-US" w:eastAsia="en-US"/>
    </w:rPr>
  </w:style>
  <w:style w:type="character" w:styleId="UserStyle_4">
    <w:name w:val="Основной текст с отступом 2 Знак"/>
    <w:next w:val="UserStyle_4"/>
    <w:link w:val="BodyTextIndent2"/>
    <w:rPr>
      <w:sz w:val="28"/>
      <w:szCs w:val="28"/>
    </w:rPr>
  </w:style>
  <w:style w:type="paragraph" w:styleId="FootnoteText">
    <w:name w:val="Текст сноски"/>
    <w:basedOn w:val="Normal"/>
    <w:next w:val="FootnoteText"/>
    <w:link w:val="UserStyle_5"/>
    <w:unhideWhenUsed/>
    <w:pPr>
      <w:spacing w:after="200" w:line="276" w:lineRule="auto"/>
      <w:jc w:val="left"/>
    </w:pPr>
    <w:rPr>
      <w:rFonts w:ascii="Calibri" w:hAnsi="Calibri" w:eastAsia="Calibri"/>
      <w:sz w:val="20"/>
      <w:szCs w:val="20"/>
      <w:lang w:val="en-US" w:eastAsia="en-US"/>
    </w:rPr>
  </w:style>
  <w:style w:type="character" w:styleId="UserStyle_5">
    <w:name w:val="Текст сноски Знак"/>
    <w:next w:val="UserStyle_5"/>
    <w:link w:val="FootnoteText"/>
    <w:rPr>
      <w:rFonts w:ascii="Calibri" w:hAnsi="Calibri" w:eastAsia="Calibri"/>
      <w:lang w:eastAsia="en-US"/>
    </w:rPr>
  </w:style>
  <w:style w:type="character" w:styleId="FootnoteReference">
    <w:name w:val="Знак сноски"/>
    <w:next w:val="FootnoteReference"/>
    <w:link w:val="UserStyle_6"/>
    <w:unhideWhenUsed/>
    <w:rPr>
      <w:vertAlign w:val="superscript"/>
      <w:lang w:val="ru-RU" w:eastAsia="ru-RU" w:bidi="ar-SA"/>
    </w:rPr>
  </w:style>
  <w:style w:type="paragraph" w:styleId="UserStyle_7">
    <w:name w:val="заголовок 1"/>
    <w:basedOn w:val="Normal"/>
    <w:next w:val="Normal"/>
    <w:link w:val="Normal"/>
    <w:pPr>
      <w:keepNext/>
      <w:outlineLvl w:val="0"/>
    </w:pPr>
    <w:rPr>
      <w:szCs w:val="20"/>
    </w:rPr>
  </w:style>
  <w:style w:type="paragraph" w:styleId="UserStyle_6">
    <w:name w:val="Знак сноски1"/>
    <w:next w:val="UserStyle_6"/>
    <w:link w:val="FootnoteReference"/>
    <w:rPr>
      <w:vertAlign w:val="superscript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1673</Characters>
  <CharactersWithSpaces>1963</CharactersWithSpaces>
  <Company>ИКСРФ22</Company>
  <DocSecurity>0</DocSecurity>
  <HyperlinksChanged>false</HyperlinksChanged>
  <Lines>13</Lines>
  <Pages>1</Pages>
  <Paragraphs>3</Paragraphs>
  <ScaleCrop>false</ScaleCrop>
  <SharedDoc>false</SharedDoc>
  <Template>Normal</Template>
  <Words>293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Плишанкова Н.М.</dc:creator>
  <cp:lastModifiedBy>admins</cp:lastModifiedBy>
  <cp:revision>6</cp:revision>
  <dcterms:created xsi:type="dcterms:W3CDTF">2025-07-16T09:50:00Z</dcterms:created>
  <dcterms:modified xsi:type="dcterms:W3CDTF">2025-07-25T02:18:00Z</dcterms:modified>
  <cp:version>786432</cp:version>
</cp:coreProperties>
</file>