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9"/>
        <w:ind w:left="0" w:firstLine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" cy="614045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245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50pt;height:48.3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7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>
        <w:tblPrEx/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7" w:type="dxa"/>
            <w:textDirection w:val="lrTb"/>
            <w:noWrap w:val="false"/>
          </w:tcPr>
          <w:p>
            <w:pPr>
              <w:pStyle w:val="681"/>
              <w:jc w:val="center"/>
              <w:spacing w:after="0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679"/>
              <w:ind w:left="0" w:firstLine="0"/>
              <w:jc w:val="center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blPrEx/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_______2025                                                                                                   № 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ind w:right="5102"/>
        <w:tabs>
          <w:tab w:val="left" w:pos="4140" w:leader="none"/>
          <w:tab w:val="left" w:pos="5400" w:leader="none"/>
        </w:tabs>
        <w:rPr>
          <w:szCs w:val="28"/>
        </w:rPr>
      </w:pPr>
      <w:r>
        <w:t xml:space="preserve">Об утверждении муниципальной программы </w:t>
      </w:r>
      <w:r>
        <w:rPr>
          <w:szCs w:val="28"/>
        </w:rPr>
        <w:t xml:space="preserve">«Развитие общественного здоровья в городе Новоалтайске» </w:t>
      </w:r>
      <w:r>
        <w:rPr>
          <w:szCs w:val="28"/>
        </w:rPr>
      </w:r>
      <w:r>
        <w:rPr>
          <w:szCs w:val="28"/>
        </w:rPr>
      </w:r>
    </w:p>
    <w:p>
      <w:pPr>
        <w:pStyle w:val="868"/>
        <w:ind w:right="5102"/>
        <w:tabs>
          <w:tab w:val="left" w:pos="5400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В целях улучшения демографической ситуации на территории города Новоалтайска, укрепле</w:t>
      </w:r>
      <w:r>
        <w:rPr>
          <w:sz w:val="28"/>
          <w:szCs w:val="28"/>
        </w:rPr>
        <w:t xml:space="preserve">ния здоровья населения, повышения качества жизни       </w:t>
      </w:r>
      <w:r>
        <w:rPr>
          <w:sz w:val="28"/>
          <w:szCs w:val="28"/>
        </w:rPr>
        <w:t xml:space="preserve">              и уровня информированности в вопросах здорового образа жизни                                    и профилактики неинфекционных заболеваний, а также для дальнейшего развития межведомственного взаимодействия по улучшению общественного здоровья, </w:t>
      </w:r>
      <w:r>
        <w:rPr>
          <w:sz w:val="28"/>
          <w:szCs w:val="28"/>
        </w:rPr>
        <w:t xml:space="preserve">в соответствии с национальным проектом «Продолжительная                      и активная жизнь» регионального проекта «Здоровье для каждого», «Концепцией охраны здоровья здоровых в Российской Федерации», утвержденной</w:t>
      </w:r>
      <w:r>
        <w:rPr>
          <w:sz w:val="28"/>
          <w:szCs w:val="28"/>
        </w:rPr>
        <w:t xml:space="preserve"> приказом Министерства здравоохранения Российской Федерации от 21.03.2003 № 113</w:t>
      </w:r>
      <w:r>
        <w:rPr>
          <w:sz w:val="28"/>
          <w:szCs w:val="28"/>
          <w:highlight w:val="white"/>
        </w:rPr>
        <w:t xml:space="preserve">, р</w:t>
      </w:r>
      <w:r>
        <w:rPr>
          <w:sz w:val="28"/>
          <w:szCs w:val="28"/>
        </w:rPr>
        <w:t xml:space="preserve">уководствуясь Порядком разработки, реализации и оценки эффективности муниципальных программ города Новоалтайска, утвержденным постановлением  Администрации  города                        от  25.05.2015  № 984,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1. Утвердить муниципальную программу «Развитие общественного здоровья в городе Новоалтайске»  согласно приложению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ind w:firstLine="567"/>
        <w:rPr>
          <w:szCs w:val="28"/>
        </w:rPr>
      </w:pPr>
      <w:r>
        <w:rPr>
          <w:szCs w:val="28"/>
        </w:rPr>
        <w:t xml:space="preserve">2. 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Новоалтайска.</w:t>
      </w:r>
      <w:r>
        <w:rPr>
          <w:szCs w:val="28"/>
        </w:rPr>
      </w:r>
      <w:r>
        <w:rPr>
          <w:szCs w:val="28"/>
        </w:rPr>
      </w:r>
    </w:p>
    <w:p>
      <w:pPr>
        <w:pStyle w:val="868"/>
        <w:ind w:firstLine="540"/>
        <w:tabs>
          <w:tab w:val="left" w:pos="709" w:leader="none"/>
          <w:tab w:val="left" w:pos="850" w:leader="none"/>
        </w:tabs>
        <w:rPr>
          <w:szCs w:val="28"/>
        </w:rPr>
      </w:pPr>
      <w:r>
        <w:rPr>
          <w:szCs w:val="28"/>
        </w:rPr>
        <w:t xml:space="preserve">3. </w:t>
      </w:r>
      <w:r>
        <w:rPr>
          <w:szCs w:val="28"/>
        </w:rPr>
        <w:t xml:space="preserve">Контроль за</w:t>
      </w:r>
      <w:r>
        <w:rPr>
          <w:szCs w:val="28"/>
        </w:rPr>
        <w:t xml:space="preserve"> исполнением настоящего постановления возложить                   на  заместителя главы Администрации города Ерохину Н.Г.</w:t>
      </w:r>
      <w:r>
        <w:rPr>
          <w:szCs w:val="28"/>
        </w:rPr>
      </w:r>
      <w:r>
        <w:rPr>
          <w:szCs w:val="28"/>
        </w:rPr>
      </w:r>
    </w:p>
    <w:p>
      <w:pPr>
        <w:pStyle w:val="868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68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68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68"/>
        <w:rPr>
          <w:szCs w:val="28"/>
        </w:rPr>
      </w:pPr>
      <w:r>
        <w:rPr>
          <w:szCs w:val="28"/>
        </w:rPr>
        <w:t xml:space="preserve">Глава  города                                                                                            В.Г. Бодунов</w:t>
      </w:r>
      <w:r>
        <w:rPr>
          <w:szCs w:val="28"/>
        </w:rPr>
      </w:r>
      <w:r>
        <w:rPr>
          <w:szCs w:val="28"/>
        </w:rPr>
      </w:r>
    </w:p>
    <w:p>
      <w:pPr>
        <w:pStyle w:val="868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68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68"/>
      </w:pPr>
      <w:r/>
      <w:r/>
    </w:p>
    <w:p>
      <w:pPr>
        <w:pStyle w:val="868"/>
      </w:pPr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</w:pPr>
      <w:r/>
      <w:r/>
    </w:p>
    <w:p>
      <w:pPr>
        <w:rPr>
          <w:sz w:val="28"/>
        </w:rPr>
      </w:pPr>
      <w:r>
        <w:rPr>
          <w:sz w:val="28"/>
        </w:rPr>
        <w:t xml:space="preserve">Заместитель главы Администрации города</w:t>
      </w:r>
      <w:r>
        <w:rPr>
          <w:sz w:val="28"/>
        </w:rPr>
        <w:tab/>
      </w:r>
      <w:r>
        <w:rPr>
          <w:sz w:val="28"/>
        </w:rPr>
        <w:tab/>
        <w:t xml:space="preserve">                   Н.В. Щепина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Заместитель главы Администрации города</w:t>
      </w:r>
      <w:r>
        <w:rPr>
          <w:sz w:val="28"/>
        </w:rPr>
        <w:tab/>
      </w:r>
      <w:r>
        <w:rPr>
          <w:sz w:val="28"/>
        </w:rPr>
        <w:tab/>
        <w:t xml:space="preserve">                    Н.Г. Ерохина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Председатель комитета по финансам</w:t>
      </w:r>
      <w:r>
        <w:rPr>
          <w:sz w:val="28"/>
        </w:rPr>
        <w:tab/>
      </w:r>
      <w:r>
        <w:rPr>
          <w:sz w:val="28"/>
        </w:rPr>
        <w:tab/>
        <w:t xml:space="preserve">                            Л.В. </w:t>
      </w:r>
      <w:r>
        <w:rPr>
          <w:sz w:val="28"/>
        </w:rPr>
        <w:t xml:space="preserve">Кулибаба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Председатель комитета по экономике                                           Е.В. </w:t>
      </w:r>
      <w:r>
        <w:rPr>
          <w:sz w:val="28"/>
        </w:rPr>
        <w:t xml:space="preserve">Катушонок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Главный бухгалтер Администрации города                                   М.А. Коваленко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Заведующий юридическим отделом </w:t>
      </w:r>
      <w:r>
        <w:rPr>
          <w:sz w:val="28"/>
        </w:rPr>
        <w:tab/>
        <w:t xml:space="preserve">          </w:t>
      </w:r>
      <w:r>
        <w:rPr>
          <w:sz w:val="28"/>
        </w:rPr>
        <w:tab/>
        <w:t xml:space="preserve">                          О.Б. </w:t>
      </w:r>
      <w:r>
        <w:rPr>
          <w:sz w:val="28"/>
        </w:rPr>
        <w:t xml:space="preserve">Бочарникова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Направить: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Прокуратура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Комитет по финансам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Комитет по экономике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Отдел по социальным вопросам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Вестник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Регистр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В дело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Сайт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Светлова Юлия Владимировна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8"/>
          <w:szCs w:val="28"/>
        </w:rPr>
      </w:pPr>
      <w:r>
        <w:rPr>
          <w:sz w:val="26"/>
          <w:szCs w:val="26"/>
        </w:rPr>
        <w:t xml:space="preserve">8(38532) 2 22 31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ind w:left="5103" w:right="-2"/>
      </w:pPr>
      <w:r>
        <w:t xml:space="preserve">Приложение к постановлению Администрации города Новоалтайска </w:t>
      </w:r>
      <w:r>
        <w:t xml:space="preserve">от</w:t>
      </w:r>
      <w:r>
        <w:t xml:space="preserve"> _____________№ ___________</w:t>
      </w:r>
      <w:r/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b/>
          <w:sz w:val="40"/>
          <w:szCs w:val="40"/>
        </w:rPr>
        <w:outlineLvl w:val="1"/>
      </w:pPr>
      <w:r>
        <w:rPr>
          <w:b/>
          <w:sz w:val="40"/>
          <w:szCs w:val="40"/>
        </w:rPr>
        <w:t xml:space="preserve">Муниципальная программа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ind w:left="360"/>
        <w:jc w:val="center"/>
        <w:widowControl w:val="off"/>
        <w:rPr>
          <w:b/>
          <w:sz w:val="40"/>
          <w:szCs w:val="40"/>
        </w:rPr>
        <w:outlineLvl w:val="1"/>
      </w:pPr>
      <w:r>
        <w:rPr>
          <w:b/>
          <w:sz w:val="40"/>
          <w:szCs w:val="40"/>
        </w:rPr>
        <w:t xml:space="preserve">«Развитие общественного здоровья </w:t>
      </w:r>
      <w:r>
        <w:rPr>
          <w:b/>
          <w:sz w:val="40"/>
          <w:szCs w:val="40"/>
        </w:rPr>
        <w:br/>
        <w:t xml:space="preserve">в городе Новоалтайске»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ind w:left="360"/>
        <w:jc w:val="center"/>
        <w:widowControl w:val="off"/>
        <w:rPr>
          <w:sz w:val="40"/>
          <w:szCs w:val="40"/>
        </w:rPr>
        <w:outlineLvl w:val="1"/>
      </w:pPr>
      <w:r>
        <w:rPr>
          <w:sz w:val="40"/>
          <w:szCs w:val="40"/>
        </w:rPr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ind w:left="360"/>
        <w:jc w:val="center"/>
        <w:widowControl w:val="off"/>
        <w:rPr>
          <w:sz w:val="40"/>
          <w:szCs w:val="40"/>
        </w:rPr>
        <w:outlineLvl w:val="1"/>
      </w:pPr>
      <w:r>
        <w:rPr>
          <w:sz w:val="40"/>
          <w:szCs w:val="40"/>
        </w:rPr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ind w:left="360"/>
        <w:jc w:val="center"/>
        <w:widowControl w:val="off"/>
        <w:rPr>
          <w:sz w:val="40"/>
          <w:szCs w:val="40"/>
        </w:rPr>
        <w:outlineLvl w:val="1"/>
      </w:pPr>
      <w:r>
        <w:rPr>
          <w:sz w:val="40"/>
          <w:szCs w:val="40"/>
        </w:rPr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t xml:space="preserve">1. ПАСПОРТ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widowControl w:val="off"/>
        <w:rPr>
          <w:sz w:val="28"/>
          <w:szCs w:val="28"/>
          <w:u w:val="single"/>
        </w:rPr>
        <w:outlineLvl w:val="1"/>
      </w:pPr>
      <w:r>
        <w:rPr>
          <w:sz w:val="28"/>
          <w:szCs w:val="28"/>
        </w:rPr>
        <w:t xml:space="preserve">«Развитие общественного здоровья в городе Новоалтайске» (далее – Программа)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jc w:val="both"/>
        <w:widowControl w:val="off"/>
      </w:pPr>
      <w:r/>
      <w:r/>
    </w:p>
    <w:tbl>
      <w:tblPr>
        <w:tblStyle w:val="693"/>
        <w:tblW w:w="9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881"/>
      </w:tblGrid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социальным вопросам Администрации города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КГБУЗ «Городская больница имени Л.Я. Литвиненко </w:t>
            </w:r>
            <w:r>
              <w:rPr>
                <w:sz w:val="24"/>
                <w:szCs w:val="24"/>
              </w:rPr>
              <w:br/>
              <w:t xml:space="preserve">г. Новоалтайска»;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образованию Администрации города Новоалтайска;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культуре Администрации города Новоалтайска;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физической культуре и спорту Администрации города Новоалтайска;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социальным вопросам Администрации города;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делам молодежи Администрации города;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Краевое государственное бюджетное учреждение социального обслуживания «Комплексный центр социального обслуживания населения города Новоалтайска» (по согласованию);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Совет ветеранов (по согласованию).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jc w:val="both"/>
              <w:widowControl w:val="off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Цель программы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</w:t>
            </w:r>
            <w:r>
              <w:rPr>
                <w:sz w:val="24"/>
                <w:szCs w:val="24"/>
              </w:rPr>
              <w:t xml:space="preserve">межсекторального</w:t>
            </w:r>
            <w:r>
              <w:rPr>
                <w:sz w:val="24"/>
                <w:szCs w:val="24"/>
              </w:rPr>
              <w:t xml:space="preserve">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jc w:val="both"/>
              <w:widowControl w:val="off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Задачи программы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ind w:hanging="6"/>
              <w:jc w:val="both"/>
              <w:rPr>
                <w:sz w:val="24"/>
                <w:szCs w:val="24"/>
                <w:highlight w:val="white"/>
              </w:rPr>
              <w:outlineLvl w:val="2"/>
            </w:pPr>
            <w:r>
              <w:rPr>
                <w:sz w:val="24"/>
                <w:szCs w:val="24"/>
                <w:highlight w:val="white"/>
              </w:rPr>
              <w:t xml:space="preserve">1.Сохранение и улучшение репродуктивного здоровья населения.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hanging="6"/>
              <w:jc w:val="both"/>
              <w:rPr>
                <w:sz w:val="24"/>
                <w:szCs w:val="24"/>
                <w:highlight w:val="white"/>
              </w:rPr>
              <w:outlineLvl w:val="2"/>
            </w:pPr>
            <w:r>
              <w:rPr>
                <w:sz w:val="24"/>
                <w:szCs w:val="24"/>
                <w:highlight w:val="white"/>
              </w:rPr>
              <w:t xml:space="preserve">2. Сохранение и укрепление здоровья детей дошкольного и школьного возраста.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hanging="6"/>
              <w:jc w:val="both"/>
              <w:tabs>
                <w:tab w:val="left" w:pos="850" w:leader="none"/>
                <w:tab w:val="left" w:pos="992" w:leader="none"/>
              </w:tabs>
              <w:rPr>
                <w:sz w:val="24"/>
                <w:szCs w:val="24"/>
                <w:highlight w:val="white"/>
              </w:rPr>
              <w:outlineLvl w:val="2"/>
            </w:pPr>
            <w:r>
              <w:rPr>
                <w:sz w:val="24"/>
                <w:szCs w:val="24"/>
                <w:highlight w:val="white"/>
              </w:rPr>
              <w:t xml:space="preserve">3. Сохранение и укрепление здоровья граждан трудоспособного и пожилого возраста.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hanging="6"/>
              <w:jc w:val="both"/>
              <w:rPr>
                <w:sz w:val="24"/>
                <w:szCs w:val="24"/>
                <w:highlight w:val="white"/>
              </w:rPr>
              <w:outlineLvl w:val="2"/>
            </w:pPr>
            <w:r>
              <w:rPr>
                <w:sz w:val="24"/>
                <w:szCs w:val="24"/>
                <w:highlight w:val="white"/>
              </w:rPr>
              <w:t xml:space="preserve">4. Реализация мероприятий по профилактике заболеваний и формированию здорового образа жизни граждан города.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hanging="6"/>
              <w:jc w:val="both"/>
              <w:rPr>
                <w:rFonts w:eastAsia="Arial"/>
                <w:sz w:val="24"/>
                <w:szCs w:val="24"/>
                <w:highlight w:val="white"/>
              </w:rPr>
              <w:outlineLvl w:val="2"/>
            </w:pPr>
            <w:r>
              <w:rPr>
                <w:sz w:val="24"/>
                <w:szCs w:val="24"/>
                <w:highlight w:val="white"/>
              </w:rPr>
              <w:t xml:space="preserve">5. Создание благоприятных условий по привлечению медицинских работников для работы в КГБУЗ «Городская больница имени Л.Я. Литвиненко г. Новоалтайска».</w:t>
            </w:r>
            <w:r>
              <w:rPr>
                <w:rFonts w:eastAsia="Arial"/>
                <w:sz w:val="24"/>
                <w:szCs w:val="24"/>
                <w:highlight w:val="white"/>
              </w:rPr>
            </w:r>
            <w:r>
              <w:rPr>
                <w:rFonts w:eastAsia="Arial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Целевые индикаторы и показатели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283" w:leader="none"/>
                <w:tab w:val="left" w:pos="425" w:leader="none"/>
              </w:tabs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1. Удельный вес беременных женщин, прошедших обучение в школах здоровья.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2. Удельный вес взрослого населения, обученного в школах здоровья, из числа лиц, состоящих на диспансерном учете.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3. Младенческая смертность на (1000 детей родившихся живыми).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4. Количество беременностей среди несовершеннолетних девочек-подростков в расчете на  1000 девочек 15-17 возраста.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5. Количество абортов среди женщин фертильного возраста на 1000 женщин фертильного возраста.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6. Охват диспансеризацией детей-сирот, детей находящихся в трудной жизненной ситуации.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highlight w:val="white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7. Охват диспансеризацией по</w:t>
            </w:r>
            <w:r>
              <w:rPr>
                <w:rFonts w:eastAsia="Arial"/>
                <w:sz w:val="24"/>
                <w:szCs w:val="24"/>
                <w:highlight w:val="white"/>
                <w:lang w:eastAsia="en-US"/>
              </w:rPr>
              <w:t xml:space="preserve">дростков.</w:t>
            </w:r>
            <w:r>
              <w:rPr>
                <w:rFonts w:eastAsia="Arial"/>
                <w:sz w:val="24"/>
                <w:szCs w:val="24"/>
                <w:highlight w:val="white"/>
              </w:rPr>
            </w:r>
            <w:r>
              <w:rPr>
                <w:rFonts w:eastAsia="Arial"/>
                <w:sz w:val="24"/>
                <w:szCs w:val="24"/>
                <w:highlight w:val="white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8. Доля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МОУ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в которых проведены информационно-разъяснительные мероприятия в сфере физической культуры и спорта города для детей школьного возраста, направленных на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9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. Уровень первичной инвалидности взрослого населения (на 10 тыс. взрослого населения).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. Смертность населения трудоспособного возраста (на 100 тыс. нас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т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рудоспособного возраста).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11. Смертность от болезней кровообращения  (на 100 тыс. нас.).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12.Смертность от новообразований, в том числе злокачественных (на 100 тыс. нас.).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13. Общая смертность (на 1000 населения).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14. Обращаемость в медицинские организации по вопросам ЗОЖ (на тысячу человек населения).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15. Охват диспансеризацией и профилактическими осмотрами определенных гру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пп взр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ослого населения.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16. Охват населения прививками против гриппа.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17. Охват лиц из групп риска прививками против гриппа.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18. Количество молодых специалистов с высшим образованием, получивших единовременную денежную выплату.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19. Укомплектованность МО медработниками.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Arial"/>
                <w:sz w:val="24"/>
                <w:szCs w:val="24"/>
                <w:lang w:eastAsia="en-US"/>
              </w:rPr>
              <w:outlineLvl w:val="2"/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20.Обеспеченность врачами и средним персоналом в учреждениях здравоохранения в расчете на 10 тыс. человек.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и этапы реализации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ind w:left="33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реализуется в один этап с 2026 по 2030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финансирования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ind w:left="33"/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Общий объем необходимых для эффективной реализации программы средств из бюджета городского округа 0</w:t>
            </w:r>
            <w:r>
              <w:rPr>
                <w:sz w:val="24"/>
                <w:szCs w:val="24"/>
                <w:highlight w:val="white"/>
              </w:rPr>
              <w:t xml:space="preserve"> тыс. р</w:t>
            </w:r>
            <w:r>
              <w:rPr>
                <w:sz w:val="24"/>
                <w:szCs w:val="24"/>
              </w:rPr>
              <w:t xml:space="preserve">уб., в том чи</w:t>
            </w:r>
            <w:r>
              <w:rPr>
                <w:sz w:val="24"/>
                <w:szCs w:val="24"/>
                <w:highlight w:val="white"/>
              </w:rPr>
              <w:t xml:space="preserve">сле: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33"/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- 2026 г. -  0  тыс. руб.;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33"/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- 2027 г. – 0 тыс. руб.;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33"/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- 2028 г. – 0 тыс. руб.;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33"/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- 2029 г. – 0 тыс. руб.;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33"/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- 2030 г. – 0 тыс. руб.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right="-2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Финансирован</w:t>
            </w:r>
            <w:r>
              <w:rPr>
                <w:sz w:val="24"/>
                <w:szCs w:val="24"/>
              </w:rPr>
              <w:t xml:space="preserve">ие обеспечивается за счет средств бюджета в рамках реализации муниципальных программ города Новоалтайска.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33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 и плановый период.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7"/>
        </w:trPr>
        <w:tc>
          <w:tcPr>
            <w:tcW w:w="2700" w:type="dxa"/>
            <w:textDirection w:val="lrTb"/>
            <w:noWrap w:val="false"/>
          </w:tcPr>
          <w:p>
            <w:pPr>
              <w:ind w:right="298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Ожидаемые результаты реализации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81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Увеличение удельного веса беременных женщин, прошедших обучение в школах здоровья до 100%.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Увеличение удельного веса взрослого населения, обученного в </w:t>
            </w:r>
            <w:r>
              <w:rPr>
                <w:sz w:val="24"/>
                <w:szCs w:val="24"/>
                <w:highlight w:val="white"/>
              </w:rPr>
              <w:t xml:space="preserve">школах здоровья, из числа лиц, состоящих на диспансерном учете до 70 %.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3. Снижение младенческой смертность на (1000 детей родившихся живыми) до коэффициента 3,6.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</w:t>
            </w:r>
            <w:r>
              <w:rPr>
                <w:sz w:val="24"/>
                <w:szCs w:val="24"/>
              </w:rPr>
              <w:t xml:space="preserve">Снижение количества беременностей среди несовершеннолетних девочек-подростков в расчете на 1000 девоче</w:t>
            </w:r>
            <w:r>
              <w:rPr>
                <w:sz w:val="24"/>
                <w:szCs w:val="24"/>
                <w:highlight w:val="white"/>
              </w:rPr>
              <w:t xml:space="preserve">к 15-17 возраста до коэффициента 0,5.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5. Снижение количества абортов среди женщин фертильного возраста на 1000 женщин фертильного возраста до коэффициента 3,2.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6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Сохранение охвата диспансеризацией детей-сирот, детей </w:t>
            </w:r>
            <w:r>
              <w:rPr>
                <w:sz w:val="24"/>
                <w:szCs w:val="24"/>
              </w:rPr>
              <w:t xml:space="preserve">находящихся в трудной жизненной ситуации на уровне 100%.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6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Сохранение охвата диспансеризацией подростков на уровне 100%.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6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Увеличение доли </w:t>
            </w:r>
            <w:r>
              <w:rPr>
                <w:sz w:val="24"/>
                <w:szCs w:val="24"/>
              </w:rPr>
              <w:t xml:space="preserve">МОУ</w:t>
            </w:r>
            <w:r>
              <w:rPr>
                <w:sz w:val="24"/>
                <w:szCs w:val="24"/>
              </w:rPr>
              <w:t xml:space="preserve"> в которых проведены информационно-разъяснительные мероприятия в сфере физической</w:t>
            </w:r>
            <w:r>
              <w:rPr>
                <w:sz w:val="24"/>
                <w:szCs w:val="24"/>
              </w:rPr>
              <w:t xml:space="preserve">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 до 100%.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6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Снижение уровня инвалидности взрослого населения (на 10 тыс. взрослого населения) до коэффициента 65,0.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6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Снижение смертности населения трудоспособного возраста (на 100 тыс. нас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рудоспособного возраста) до коэффициента 301.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11. Снижение смертности от болезней кровообращения (на 100 тыс. нас.) до коэффициента 400.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12. Смертность от новообразований, в том числе злокачественных (на 100 тыс. нас.) до коэффициента 200,8.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13. </w:t>
            </w:r>
            <w:r>
              <w:rPr>
                <w:sz w:val="24"/>
                <w:szCs w:val="24"/>
              </w:rPr>
              <w:t xml:space="preserve">Снижение показателя общей смертности (на 1000 населения) до коэффициента 11,6.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14. </w:t>
            </w:r>
            <w:r>
              <w:rPr>
                <w:sz w:val="24"/>
                <w:szCs w:val="24"/>
              </w:rPr>
              <w:t xml:space="preserve">Увеличение коэффициента обращаемости в медицинские организации по вопросам ЗОЖ (на тысячу человек населения) до 401,0.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15. Увеличение охвата диспансеризацией определенных гру</w:t>
            </w:r>
            <w:r>
              <w:rPr>
                <w:sz w:val="24"/>
                <w:szCs w:val="24"/>
                <w:highlight w:val="white"/>
              </w:rPr>
              <w:t xml:space="preserve">пп взр</w:t>
            </w:r>
            <w:r>
              <w:rPr>
                <w:sz w:val="24"/>
                <w:szCs w:val="24"/>
                <w:highlight w:val="white"/>
              </w:rPr>
              <w:t xml:space="preserve">ослого населения до 100 %.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>
              <w:rPr>
                <w:sz w:val="24"/>
                <w:szCs w:val="24"/>
                <w:highlight w:val="white"/>
              </w:rPr>
              <w:t xml:space="preserve">Увеличение охвата на</w:t>
            </w:r>
            <w:r>
              <w:rPr>
                <w:sz w:val="24"/>
                <w:szCs w:val="24"/>
              </w:rPr>
              <w:t xml:space="preserve">селения прививками против гриппа до 50,0 %.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Увеличение охвата лиц из групп риска прививками против гриппа до 80,0%.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Количество молодых специалистов с высшим образованием, получивших единовременную денежную выплату не менее 5 чел.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Увеличение укомплектованности МО медработниками до 90%.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Увеличение коэффициента обеспеченности врачами и средним персоналом в учреждениях здравоохранения в расчете на 10 тыс. человек 78.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8"/>
        <w:jc w:val="center"/>
        <w:spacing w:after="0" w:line="211" w:lineRule="auto"/>
        <w:shd w:val="clear" w:color="auto" w:fill="auto"/>
        <w:rPr>
          <w:rFonts w:ascii="Times New Roman" w:hAnsi="Times New Roman"/>
          <w:b w:val="0"/>
          <w:i/>
          <w:color w:val="000000"/>
          <w:sz w:val="28"/>
          <w:szCs w:val="28"/>
          <w:lang w:val="ru-RU"/>
        </w:rPr>
      </w:pPr>
      <w:r/>
      <w:bookmarkStart w:id="0" w:name="Par247"/>
      <w:r/>
      <w:bookmarkStart w:id="1" w:name="Par249"/>
      <w:r/>
      <w:bookmarkEnd w:id="0"/>
      <w:r/>
      <w:bookmarkEnd w:id="1"/>
      <w:r>
        <w:rPr>
          <w:rFonts w:ascii="Times New Roman" w:hAnsi="Times New Roman"/>
          <w:b w:val="0"/>
          <w:i/>
          <w:color w:val="000000"/>
          <w:sz w:val="28"/>
          <w:szCs w:val="28"/>
          <w:lang w:val="ru-RU"/>
        </w:rPr>
      </w:r>
      <w:r>
        <w:rPr>
          <w:rFonts w:ascii="Times New Roman" w:hAnsi="Times New Roman"/>
          <w:b w:val="0"/>
          <w:i/>
          <w:color w:val="000000"/>
          <w:sz w:val="28"/>
          <w:szCs w:val="28"/>
          <w:lang w:val="ru-RU"/>
        </w:rPr>
      </w:r>
    </w:p>
    <w:p>
      <w:pPr>
        <w:jc w:val="center"/>
        <w:widowControl w:val="off"/>
        <w:rPr>
          <w:sz w:val="28"/>
          <w:szCs w:val="28"/>
          <w:highlight w:val="red"/>
        </w:rPr>
      </w:pPr>
      <w:r>
        <w:rPr>
          <w:sz w:val="28"/>
          <w:szCs w:val="28"/>
        </w:rPr>
        <w:t xml:space="preserve">2. Общая характеристика сферы реализации муниципальной программы </w:t>
      </w:r>
      <w:r>
        <w:rPr>
          <w:sz w:val="28"/>
          <w:szCs w:val="28"/>
          <w:highlight w:val="red"/>
        </w:rPr>
      </w:r>
      <w:r>
        <w:rPr>
          <w:sz w:val="28"/>
          <w:szCs w:val="28"/>
          <w:highlight w:val="red"/>
        </w:rPr>
      </w:r>
    </w:p>
    <w:p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Эффективная государственная политика в области здравоохранения является одним из важнейших инструментов развития страны, долголетия ее граждан и роста их благосостояния. Противостояние большинству значимых угроз здоровью требует действий, кот</w:t>
      </w:r>
      <w:r>
        <w:rPr>
          <w:sz w:val="28"/>
          <w:szCs w:val="28"/>
        </w:rPr>
        <w:t xml:space="preserve">орые выходят за пределы традиционных обязанностей сектора здравоохранения. Здесь нужен комплексный подход, межведомственное взаимодействие в сфере формирования, укрепления и сохранения здоровья населения, формирование мотивации к здоровью и к самой жизни.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дорогостоящие и серьезные социальные проблемы здоровья обусловлены особенностями поведения и образом жизни людей. Образ жизни в свою очередь обусловлен уровнем развития служб общественного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здравоохранения, степенью информированности, грамотности и ответственности населения за свое собственное здоровье и здоровье окружающих.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ВОЗ, здоровье людей зависит на 25-50% от образа жизни. Это не умаляет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значения современной высокотехнологичной лечебно-диагностической медицины, которая призвана обеспечивать раннюю диагностику заболеваний, требующих медицинского вмешательства. Тем не менее, самыми эффективными и значимыми инструментами для профилактики забо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леваний являются безопасное поведение самих людей и безопасная информационная, социальная и городская среда. Противостояние большинству значимых угроз здоровью требует действий, которые выходят за пределы традиционных обязанностей сектора здравоохранения.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Межведомственному взаимодействию в сфере укрепления здоровья препятствуют формализм, недооценка систематического подхода к формированию и сохранению здоровья населения, финансовая поддержка фармацевтической и высокотехнологичной составляющей лечебной 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дицины в ущерб профилактическому звену на государственном уровне. Формирование мотивации к здоровью и к самой жизни может сдержать потоки агрессивной информации, которыми наводнены СМИ, влияние агрессивного маркетинга вредных для здоровья услуг и товаров,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фармпрепаратов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сдержать угрозы со стороны компаний и преступных организаций, производящих алкоголь, табак, наркотики.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86"/>
        <w:ind w:left="0" w:firstLine="709"/>
        <w:jc w:val="both"/>
        <w:spacing w:after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 период действия муниципальной программы «Развитие общественного здоровья в городе Новоалтайске на 2021- 2025 годы»  произошло увеличение обращаемости в медицинские организации по вопросам здорового образа жизни до 246,</w:t>
      </w:r>
      <w:r>
        <w:rPr>
          <w:sz w:val="28"/>
          <w:szCs w:val="28"/>
          <w:highlight w:val="white"/>
        </w:rPr>
        <w:t xml:space="preserve">8 (на тысячу человек населения). За счет активного выявления заболеваний и проведения профилактических мероприятий показатель общей смертности  снизился на 5,8 %  и составил 11,4 %. Охват населения прививками против гриппа вырос  на 42,6 % и составил 82 %.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6"/>
        <w:ind w:left="0" w:firstLine="709"/>
        <w:jc w:val="both"/>
        <w:spacing w:after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связи с проведением проф</w:t>
      </w:r>
      <w:r>
        <w:rPr>
          <w:sz w:val="28"/>
          <w:szCs w:val="28"/>
          <w:highlight w:val="white"/>
        </w:rPr>
        <w:t xml:space="preserve">илактических мероприятий показатель «количество абортов среди женщин фертильного возраста на 1000 женщин фертильного возраста»  снизился на 7,5 %  и составил 4,4 %, увеличился до 100 % удельный вес беременных женщин, прошедших обучение в школах здоровья. 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6"/>
        <w:ind w:left="0" w:firstLine="709"/>
        <w:jc w:val="both"/>
        <w:spacing w:after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 территории города услуги в сфере здравоо</w:t>
      </w:r>
      <w:r>
        <w:rPr>
          <w:sz w:val="28"/>
          <w:szCs w:val="28"/>
          <w:highlight w:val="white"/>
        </w:rPr>
        <w:t xml:space="preserve">хранения оказывают КГБУЗ «Городская больница имени Л.Я. Литвиненко, г. Новоалтайск», ЧУЗ «Клиническая больница «РЖД-Медицина» поликлиника №2 (на ст. Алтайская) и легочное туберкулезное отделение № 6 КГБУ «Алтайский краевой противотуберкулезный диспансер».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6"/>
        <w:ind w:left="0" w:firstLine="709"/>
        <w:jc w:val="both"/>
        <w:spacing w:after="0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За период с 2021 по 2024 год на 8% вырос показатель укомплектованности медицинских организаций медработниками и составил 83 %. Отмечается снижение обеспеченности врачами и средним персоналом в учреждениях здра</w:t>
      </w:r>
      <w:r>
        <w:rPr>
          <w:sz w:val="28"/>
          <w:szCs w:val="28"/>
        </w:rPr>
        <w:t xml:space="preserve">воохранения в расчете на 10 тыс. человек  на 4,7 %.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ind w:left="0" w:firstLine="709"/>
        <w:jc w:val="bot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Для города Новоалта</w:t>
      </w:r>
      <w:r>
        <w:rPr>
          <w:sz w:val="28"/>
          <w:szCs w:val="28"/>
        </w:rPr>
        <w:t xml:space="preserve">йска характерен отток специалистов, как и ряда других городов.  В целях привлечения медицинских работников для работы в КГБУЗ «Городская больница имени Л.Я. Литвиненко г. Новоалтайска» за период 2021-2024 годы 5 молодых специалистов с высшим образованием, </w:t>
      </w:r>
      <w:r>
        <w:rPr>
          <w:sz w:val="28"/>
          <w:szCs w:val="28"/>
        </w:rPr>
        <w:t xml:space="preserve">получили единовременную денежную выплату за счет средств городского бюджета.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Динамика показател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ей медицинской и демографической статистики свидетельствует о том, что программно-целевой подход к решению проблем общественного здоровья дает позитивные результаты. Комплексные меры, в которых значительная роль отводится просветительской деятельности по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опросам здоровья, программно-целевой подход на основе межведомственного взаимодействия меняют негативные демографические тенденции. Происходит процесс формирования ответственного и осознанного отношения людей к здоровью, к жизни как к непреложной ценности.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Реализация мероприятий муниципальной программы позволит оптимизировать использование имеющихся в городе организационных, административных, кадровых, финансовых ресурсов для достижения </w:t>
      </w:r>
      <w:r>
        <w:rPr>
          <w:sz w:val="28"/>
          <w:szCs w:val="28"/>
        </w:rPr>
        <w:t xml:space="preserve">стратегической цели работы по развитию общественного здоровья, проводить целенаправленную и последовательную профилактическую и информационную политику, обеспечить дальнейшее развитие единых подходов к работе с населением города на всех уровнях управления.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работе примут участие учреждения, организации, образовательные учреждения, СМИ, НКО, волонтеры. Будут использоваться различные формы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82"/>
        <w:ind w:firstLine="0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вовлечения населения: фестивали, творческие конкурсы, тематические мероприятия, акции,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флешмоб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-акции; обучающие семинары, тренинги, круглые столы, пресс-конференции, конференции; распространение печатных изданий (буклетов, информационных листков), публикации в печатных изданиях, журналах и других СМИ.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Будут проводиться информационные кампании: использоваться СМИ,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интернет-ресурсы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средства рекламы.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помощью мероприятий, предусмотренных Программой, появится возможность реализации мер, направленных на профилактику заболеваний, в том числе социально значимых заболеваний, представляющих опасность д</w:t>
      </w:r>
      <w:r>
        <w:rPr>
          <w:sz w:val="28"/>
          <w:szCs w:val="28"/>
        </w:rPr>
        <w:t xml:space="preserve">ля окружающих, информирование граждан о факторах риска для их здоровья, формирование у граждан города  мотивации к ведению здорового образа жизни и создание условий для ведения здорового образа жизни, в том числе для занятий физической культурой и спортом.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Общая характеристика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 Приоритеты муниципальной политики в сфере реализации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outlineLvl w:val="2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Приоритеты </w:t>
      </w:r>
      <w:r>
        <w:rPr>
          <w:sz w:val="28"/>
          <w:szCs w:val="28"/>
        </w:rPr>
        <w:t xml:space="preserve">муниципальной политики в сфере реализации муниципальной программы</w:t>
      </w:r>
      <w:r>
        <w:rPr>
          <w:color w:val="000000"/>
          <w:sz w:val="28"/>
          <w:szCs w:val="28"/>
        </w:rPr>
        <w:t xml:space="preserve"> период до 2030 года сформированы с учетом целей и задач, представленных в следующих стратегических документах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- Указ Президента Российской федерации от 02.07.2021 №400 «О Стратегии национальной безопасности Российской Федерации»;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-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- Единый план по достижению национальных целей развития Российской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Федерации на период до 2024 года и на плановый период до 2030 года,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утвержденном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распоряжением Правительства Российской Федерации от 01.10.2021 №2765-р;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паспорта национальных проектов «Продолжительная и активная жизнь», «Семья», утвержденных протоколом заочного голосования членов президиума Совета при Президенте Российской Федерации по стратегическому развитию и национальным проектам от 20.12.2024 № 12пр;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- постановление Правительства Алтайского края от 21.12.2023 № 502 «Об утверждении государственной программы Алтайского края «Развитие здравоохранения в Алтайском крае»;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- закон Алтайского края от 06.09.2021 № 86-ЗС «Об утверждении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стратегии социально-экономического развития Алтайского края до 2035 года»;</w:t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outlineLvl w:val="2"/>
      </w:pPr>
      <w:r>
        <w:rPr>
          <w:color w:val="000000" w:themeColor="text1"/>
          <w:sz w:val="28"/>
          <w:szCs w:val="28"/>
          <w:highlight w:val="white"/>
        </w:rPr>
        <w:t xml:space="preserve">- стратегия цифровой трансформации отраслей экономики, социальной сферы и государственного управления Алтайского края, утвержденной Губернатором Алтайского края, Председателем Правительства Алтайского края 30.08.2022 № 111-п.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Основными направлениями реализации муниципальной программы  являются: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42"/>
        <w:numPr>
          <w:ilvl w:val="0"/>
          <w:numId w:val="1"/>
        </w:numPr>
        <w:ind w:left="0" w:firstLine="709"/>
        <w:jc w:val="both"/>
        <w:tabs>
          <w:tab w:val="left" w:pos="99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повышение доступности и качества медицинской помощи, в том числе участникам специальной военной операции;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42"/>
        <w:numPr>
          <w:ilvl w:val="0"/>
          <w:numId w:val="1"/>
        </w:numPr>
        <w:ind w:left="0" w:firstLine="709"/>
        <w:jc w:val="both"/>
        <w:tabs>
          <w:tab w:val="left" w:pos="99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обеспечение медицинских организаций квалифицированными кадрами;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42"/>
        <w:numPr>
          <w:ilvl w:val="0"/>
          <w:numId w:val="1"/>
        </w:numPr>
        <w:ind w:left="0" w:firstLine="709"/>
        <w:jc w:val="both"/>
        <w:tabs>
          <w:tab w:val="left" w:pos="993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увеличение охвата населения диспансеризацией и профилактическими медицинскими осмотрами, в том числе на раннее выявление онкологических </w:t>
      </w:r>
      <w:r>
        <w:rPr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ердечно-сосудистых</w:t>
      </w:r>
      <w:r>
        <w:rPr>
          <w:color w:val="000000" w:themeColor="text1"/>
          <w:sz w:val="28"/>
          <w:szCs w:val="28"/>
          <w:highlight w:val="white"/>
        </w:rPr>
        <w:t xml:space="preserve"> заболеваний и туберкулеза;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42"/>
        <w:numPr>
          <w:ilvl w:val="0"/>
          <w:numId w:val="1"/>
        </w:numPr>
        <w:ind w:left="0" w:firstLine="709"/>
        <w:jc w:val="both"/>
        <w:tabs>
          <w:tab w:val="left" w:pos="993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совершенствование диспансерного наблюдения;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42"/>
        <w:numPr>
          <w:ilvl w:val="0"/>
          <w:numId w:val="1"/>
        </w:numPr>
        <w:ind w:left="0" w:firstLine="709"/>
        <w:jc w:val="both"/>
        <w:tabs>
          <w:tab w:val="left" w:pos="993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содействие сохранению и улучшению репродуктивного здоровья населения;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42"/>
        <w:numPr>
          <w:ilvl w:val="0"/>
          <w:numId w:val="1"/>
        </w:numPr>
        <w:ind w:left="0" w:firstLine="709"/>
        <w:jc w:val="both"/>
        <w:tabs>
          <w:tab w:val="left" w:pos="993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развитие системы детского здравоохранения;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42"/>
        <w:numPr>
          <w:ilvl w:val="0"/>
          <w:numId w:val="1"/>
        </w:numPr>
        <w:ind w:left="0" w:firstLine="709"/>
        <w:jc w:val="both"/>
        <w:tabs>
          <w:tab w:val="left" w:pos="993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повышение мотивации граждан к ведению здорового образа жизни и отказа от вредных привычек.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</w:rPr>
      </w:r>
      <w:bookmarkStart w:id="2" w:name="sub_1002"/>
      <w:r>
        <w:rPr>
          <w:color w:val="000000" w:themeColor="text1"/>
        </w:rPr>
      </w:r>
      <w:bookmarkStart w:id="3" w:name="sub_1022"/>
      <w:r>
        <w:rPr>
          <w:color w:val="000000" w:themeColor="text1"/>
        </w:rPr>
      </w:r>
      <w:bookmarkEnd w:id="2"/>
      <w:r>
        <w:rPr>
          <w:color w:val="000000" w:themeColor="text1"/>
        </w:rPr>
      </w:r>
      <w:bookmarkEnd w:id="3"/>
      <w:r>
        <w:rPr>
          <w:color w:val="000000" w:themeColor="text1"/>
          <w:sz w:val="28"/>
          <w:szCs w:val="28"/>
        </w:rPr>
        <w:t xml:space="preserve">3.2. Характеристика цели, задач и конечных результатов реализации муниципальной программы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outlineLvl w:val="2"/>
      </w:pPr>
      <w:r>
        <w:rPr>
          <w:sz w:val="28"/>
          <w:szCs w:val="28"/>
        </w:rPr>
        <w:t xml:space="preserve">Целью Программы является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</w:t>
      </w:r>
      <w:r>
        <w:rPr>
          <w:sz w:val="28"/>
          <w:szCs w:val="28"/>
        </w:rPr>
        <w:t xml:space="preserve">межсекторального</w:t>
      </w:r>
      <w:r>
        <w:rPr>
          <w:sz w:val="28"/>
          <w:szCs w:val="28"/>
        </w:rPr>
        <w:t xml:space="preserve">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  <w:outlineLvl w:val="2"/>
      </w:pPr>
      <w:r>
        <w:rPr>
          <w:sz w:val="28"/>
          <w:szCs w:val="28"/>
          <w:highlight w:val="white"/>
        </w:rPr>
        <w:t xml:space="preserve">Достижение поставленных целей предполагается путем выполнения следующих задач: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outlineLvl w:val="2"/>
      </w:pPr>
      <w:r>
        <w:rPr>
          <w:sz w:val="28"/>
          <w:szCs w:val="28"/>
          <w:highlight w:val="white"/>
        </w:rPr>
        <w:t xml:space="preserve">1. Сохранение и улучшение репродуктивного здоровья населения.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outlineLvl w:val="2"/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 Сохранение и укрепление здоровья детей дошкольного и школьного возраста.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850" w:leader="none"/>
          <w:tab w:val="left" w:pos="992" w:leader="none"/>
        </w:tabs>
        <w:rPr>
          <w:sz w:val="28"/>
          <w:szCs w:val="28"/>
          <w:highlight w:val="white"/>
        </w:rPr>
        <w:outlineLvl w:val="2"/>
      </w:pPr>
      <w:r>
        <w:rPr>
          <w:sz w:val="28"/>
          <w:szCs w:val="28"/>
          <w:highlight w:val="white"/>
        </w:rPr>
        <w:t xml:space="preserve">3. Сохранение и укрепление здоровья граждан трудоспособного и пожилого возраста.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outlineLvl w:val="2"/>
      </w:pPr>
      <w:r>
        <w:rPr>
          <w:sz w:val="28"/>
          <w:szCs w:val="28"/>
          <w:highlight w:val="white"/>
        </w:rPr>
        <w:t xml:space="preserve">4. Реализация мероприятий по профилактике заболеваний и формированию здорового образа жизни граждан города.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outlineLvl w:val="2"/>
      </w:pPr>
      <w:r>
        <w:rPr>
          <w:sz w:val="28"/>
          <w:szCs w:val="28"/>
          <w:highlight w:val="white"/>
        </w:rPr>
        <w:t xml:space="preserve">5. Создание благоприятных условий по привлечению медицинских работников для работы в КГБУЗ «Городская больница имени Л.Я. Литвиненко г. Новоалтайска».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Реализация Программы позволит достичь следующих результатов: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1. Увеличение удельного веса беременных женщин, прошедших обучение в школах здоровья до 100%.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2. Увеличение удельного веса взрослого населения, обученного в школах здоровья, из числа лиц, состоящих на диспансерном учете до 70 %.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3. Снижение младенческой смертность на (1000 детей родившихся живыми) до коэффициента 3,6.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4. Снижение количества беременностей среди несовершеннолетних девочек - подростков в расчете на 1000 девочек 15-17 возраста до коэффициента 0,5.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5. Снижение количества абортов среди женщин фертильного возраста на 1000 женщин фертильного возраста до коэффициента 3,2.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6. Сохранение охвата диспансеризацией детей-сирот, детей находящихся в трудной жизненной ситуации на уровне 100%.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7. Сохранение охвата диспансеризацией подростков на уровне 100%.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8. Увеличение доли </w:t>
      </w:r>
      <w:r>
        <w:rPr>
          <w:sz w:val="28"/>
          <w:szCs w:val="28"/>
        </w:rPr>
        <w:t xml:space="preserve">МОУ</w:t>
      </w:r>
      <w:r>
        <w:rPr>
          <w:sz w:val="28"/>
          <w:szCs w:val="28"/>
        </w:rPr>
        <w:t xml:space="preserve"> в которых проведены информационно-разъяснительные мероприятия в сфере физической</w:t>
      </w:r>
      <w:r>
        <w:rPr>
          <w:sz w:val="28"/>
          <w:szCs w:val="28"/>
        </w:rPr>
        <w:t xml:space="preserve">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 до 100%.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Снижение уровня инвалидности взрослого населения (на 10 тыс. взрослого населения) до коэффициента 65,0.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Снижение смертности населения трудоспособного возраста (на 100 тыс. нас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рудоспособного возраста) до коэффициента 301.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11. Снижение смертности от болезней кровообращения (на 100 тыс. нас.) до коэффициента 400.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12. Смертность от новообразований, в том числе злокачественных (на 100 тыс. нас.) до коэффициента 200,8.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13. Снижение показателя общей смертности (на 1000 населения) до коэффициента 11,6.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14. Увеличение коэффициента обращаемости в медицинские организации по вопросам ЗОЖ (на т</w:t>
      </w:r>
      <w:r>
        <w:rPr>
          <w:sz w:val="28"/>
          <w:szCs w:val="28"/>
        </w:rPr>
        <w:t xml:space="preserve">ысячу человек населения) до 401.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15. Увеличение охвата </w:t>
      </w:r>
      <w:r>
        <w:rPr>
          <w:sz w:val="28"/>
          <w:szCs w:val="28"/>
        </w:rPr>
        <w:t xml:space="preserve">диспансеризацией </w:t>
      </w:r>
      <w:r>
        <w:rPr>
          <w:sz w:val="28"/>
          <w:szCs w:val="28"/>
        </w:rPr>
        <w:t xml:space="preserve">и профилактическими осмотрами </w:t>
      </w:r>
      <w:r>
        <w:rPr>
          <w:sz w:val="28"/>
          <w:szCs w:val="28"/>
        </w:rPr>
        <w:t xml:space="preserve">определенных гру</w:t>
      </w:r>
      <w:r>
        <w:rPr>
          <w:sz w:val="28"/>
          <w:szCs w:val="28"/>
        </w:rPr>
        <w:t xml:space="preserve">пп взр</w:t>
      </w:r>
      <w:r>
        <w:rPr>
          <w:sz w:val="28"/>
          <w:szCs w:val="28"/>
        </w:rPr>
        <w:t xml:space="preserve">ослого населения до 100 %.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16. Увеличение охвата населения прививками против</w:t>
      </w:r>
      <w:r>
        <w:rPr>
          <w:sz w:val="28"/>
          <w:szCs w:val="28"/>
        </w:rPr>
        <w:t xml:space="preserve"> гриппа до 50,0 %.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17. Увеличение охвата лиц из групп риска прививками против гриппа до 80,0%.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18.Количество молодых специалистов с высшим образованием, </w:t>
      </w:r>
      <w:r>
        <w:rPr>
          <w:sz w:val="28"/>
          <w:szCs w:val="28"/>
        </w:rPr>
        <w:t xml:space="preserve">получивших единовременную денежную выплату не менее 5 чел.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19. Увеличение укомплектованности МО медработниками до 90%.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20. Увеличение коэффициента обеспеченности врачами и средним персоналом в учреждениях здравоохранения в расчете на 10 тыс. человек 78.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 основу конечных результатов реализации Программы берутся индикаторы настоящей Программы. Сведения об индикаторах Программы и их значениях представлены в Приложении № 1 к настоящей Программе.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порядке расчета значений индикаторов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540"/>
        <w:jc w:val="center"/>
      </w:pPr>
      <w:r/>
      <w:r/>
    </w:p>
    <w:tbl>
      <w:tblPr>
        <w:tblStyle w:val="693"/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3"/>
        <w:gridCol w:w="3572"/>
        <w:gridCol w:w="2670"/>
        <w:gridCol w:w="2884"/>
      </w:tblGrid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индикатора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Методика расчета значения целевого индикатора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 получения данных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3"/>
        </w:trPr>
        <w:tc>
          <w:tcPr>
            <w:tcW w:w="513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беременных женщин, прошедших обучение в школах здоровья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взрослого населения, обученного в школах здоровья, из числа лиц, состоящих на диспансерном учете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Младенческая смертность на (1000 детей родившихся живыми)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беременностей среди несовершеннолетних девочек-подростков в расчете на  1000 девочек 15-17 возраста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абортов среди женщин фертильного возраста на 1000 женщин фертильного возраста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диспансеризацией детей-сирот, детей находящихся в трудной жизненной ситуации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Borders>
              <w:bottom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диспансеризацией подростков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 xml:space="preserve">МОУ</w:t>
            </w:r>
            <w:r>
              <w:rPr>
                <w:sz w:val="22"/>
                <w:szCs w:val="22"/>
              </w:rPr>
              <w:t xml:space="preserve"> в которых проведены информационно-разъяснительные мероприятия в сфере физической культуры и спорта города для детей школьного возраста, направленных на популяризацию ЗОЖ, формирование мотивации к </w:t>
            </w:r>
            <w:r>
              <w:rPr>
                <w:sz w:val="22"/>
                <w:szCs w:val="22"/>
              </w:rPr>
              <w:t xml:space="preserve">отказу от злоупотребления алкогольной продукции и табаком и немедицинского потребления наркотических средств и психотропных веществ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предоставляется комитетом по образованию Администрации города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предоставляются комитетом по образованию Администрации города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AFAFAF" w:sz="4" w:space="0"/>
            <w:left w:val="single" w:color="AFAFAF" w:sz="4" w:space="0"/>
            <w:bottom w:val="single" w:color="AFAFAF" w:sz="4" w:space="0"/>
            <w:right w:val="single" w:color="AFAFAF" w:sz="4" w:space="0"/>
            <w:insideH w:val="single" w:color="AFAFAF" w:sz="4" w:space="0"/>
            <w:insideV w:val="single" w:color="AFAFAF" w:sz="4" w:space="0"/>
          </w:tblBorders>
        </w:tblPrEx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первичной инвалидности взрослого населения (на 10 тыс. взрослого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AFAFAF" w:sz="4" w:space="0"/>
            <w:left w:val="single" w:color="AFAFAF" w:sz="4" w:space="0"/>
            <w:bottom w:val="single" w:color="AFAFAF" w:sz="4" w:space="0"/>
            <w:right w:val="single" w:color="AFAFAF" w:sz="4" w:space="0"/>
            <w:insideH w:val="single" w:color="AFAFAF" w:sz="4" w:space="0"/>
            <w:insideV w:val="single" w:color="AFAFAF" w:sz="4" w:space="0"/>
          </w:tblBorders>
        </w:tblPrEx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Смертность населения трудоспособного возраста (на 100 тыс. нас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рудоспособного возраста)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Смертность от болезней кровообращения  (на 100 тыс. нас.)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Смертность от новообразований, в том числе злокачественных (на 100 тыс. нас.)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</w:tcBorders>
            <w:tcW w:w="513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572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смертность (на 1000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267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288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Обращаемость в медицинские организации по вопросам ЗОЖ (на тысячу человек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диспансеризацией и профилактическими осмотрами определенных гру</w:t>
            </w:r>
            <w:r>
              <w:rPr>
                <w:sz w:val="22"/>
                <w:szCs w:val="22"/>
              </w:rPr>
              <w:t xml:space="preserve">пп взр</w:t>
            </w:r>
            <w:r>
              <w:rPr>
                <w:sz w:val="22"/>
                <w:szCs w:val="22"/>
              </w:rPr>
              <w:t xml:space="preserve">ослого населения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населения прививками против гриппа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лиц из групп риска прививками против гриппа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ind w:right="-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молодых специалистов с высшим образованием, получивших единовременную денежную выплату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ind w:right="-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количество молодых специалистов с высшим образованием, получивших </w:t>
            </w:r>
            <w:r>
              <w:rPr>
                <w:sz w:val="22"/>
                <w:szCs w:val="22"/>
              </w:rPr>
              <w:t xml:space="preserve">единовременную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денежную выплату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предоставляются комитетом </w:t>
            </w:r>
            <w:r>
              <w:rPr>
                <w:sz w:val="22"/>
                <w:szCs w:val="22"/>
              </w:rPr>
              <w:t xml:space="preserve">комитетом</w:t>
            </w:r>
            <w:r>
              <w:rPr>
                <w:sz w:val="22"/>
                <w:szCs w:val="22"/>
              </w:rPr>
              <w:t xml:space="preserve"> по социальным вопросам Администрации города за отчетный период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Укомплектованность МО медработниками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</w:t>
            </w:r>
            <w:r>
              <w:rPr>
                <w:sz w:val="22"/>
                <w:szCs w:val="22"/>
              </w:rPr>
              <w:t xml:space="preserve">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W w:w="51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Обеспеченность врачами и средним персоналом в учреждениях здравоохранения в расчете на 10 тыс. человек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 данных производится организационно методическим отделом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Организационно методический отдел НГБ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 Обобщенная характеристика мероприятий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рамках Программы будут осуществлены меры, направленные 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организацию массовых мероприятий, совершенствование методической и просветительской работы с населением, развитие кадров и материально-технической базы для физической активности и спорта; меры, направленные на борьбу с курением, наркоманией, алкоголизмом.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Для формирования здорового образ жизни, профилактики неинфекционных болезней, пропаганды активного образа жизни, здорового питания, улучшения условий на рабочих местах будут осуществляться: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8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-обучение населения в школе здоровья в «Комплексном центре социального обслуживания населения города»;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-обучение детей основам безопасного поведения и здорового образа жизни;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-проведение мероприятий и акций на предприятиях и в учреждениях;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-проведение мероприятий и акций во время городских праздников;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-проведение акций и мероприятий, посвященных Всемирному дню здоровья;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79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-проведение акций и мероприятий в День пожилого человека, День отказа от курения, День борьбы с ВИЧ/СПИДом, в другие даты ВОЗ;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9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-использование традиционных городских праздников и массовых мероприятий с участием руководителей муниципального образования для пропаганды физической активности и спорта;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-организация и проведение информационных кампаний;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-организация и проведение спортивных состязаний для разных групп населения.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Будет продолжаться наращивание потенциала общественного сектора здравоохранения, совершенствоваться учебно-методический и кадровый потенциал через следующие действия: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-организация и проведение методических и учебных семинаров;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-совершенствование работы  отделения медицинской профилактики учреждений здравоохранения, образования, дошкольного образования и воспитания.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Для развития потенциала общественного сектора здравоохранения предполагается: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79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-проведение информационных кампаний, направленных на формирование благоприятного для здоровья информационного пространства;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79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-развитие материально-технической базы учреждений здравоохранения, образования, социальной поддержки, спорта, других партнеров;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75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-развитие партнерских сетей в муниципальном образовании,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межведомственных 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межсекторальных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связей;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75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-вовлечение гражданского общества;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914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-развитие социальных связей, особенно для уязвимых групп населения;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882"/>
        <w:ind w:firstLine="709"/>
        <w:jc w:val="both"/>
        <w:spacing w:after="0"/>
        <w:shd w:val="clear" w:color="auto" w:fill="auto"/>
        <w:tabs>
          <w:tab w:val="left" w:pos="875" w:leader="none"/>
        </w:tabs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-содействие предприятиям разных форм собственности, предлагающим населению здоровые продукты питания, воду, информацию;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-содействие предприятиям, которые участвуют в создании здоровых рабочих мест.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Программы определен исходя из необходимости достижения ее цели и  задач.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решения поставленных в рамках Программы задач предусматривается реализация мероприятий, перечень которых с указанием ответственных исполнителей и сроков исполнения представлен в Приложении  № 2 к настоящей Программе.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5. Общий объем финансовых ресурсов, необходимых для реализации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Общий объем необходимых для эффективной реализации программы средств из бюджета городского округа 0 тыс. руб., в том числе: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- 2026 г. - 0 тыс. руб.;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- 2027 г. - 0 тыс. руб.;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- 2028 г. - 0 тыс. руб.;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- 2029 г. - 0 тыс. руб.;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- 2030 г. - 0 тыс. руб.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обеспечивается за счет средств бюджета в рамках реализации муниципальных программ города Новоалтайска.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Объемы финансирования подлежат ежегодному уточнению в соответствии  с решением о бюджете городского округа город Новоалтайск на очередной финансовый год и плановый период.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6. Анализ рисков реализации муниципальной программы и описание мер управления рисками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настоящей муниципальной программы и для достижения поставленной цели необходимо учитывать возможные макроэкономические, социальные, прочие риски.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Важнейшими </w:t>
      </w:r>
      <w:r>
        <w:rPr>
          <w:sz w:val="28"/>
          <w:szCs w:val="28"/>
        </w:rPr>
        <w:t xml:space="preserve">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характеру влияния на ход и конечные результаты реализации муниципальной программы существенными являются следующие риски: нормативно-правовые, организ</w:t>
      </w:r>
      <w:r>
        <w:rPr>
          <w:sz w:val="28"/>
          <w:szCs w:val="28"/>
        </w:rPr>
        <w:t xml:space="preserve">ационные и управленческие риски (непринятие или несвоевременное принятие необходимых нормативных актов, влияющих на мероприятия муниципальной программы, недостаточная проработка вопросов, решаемых в рамках муниципальной программы, недостаточная подготовка </w:t>
      </w:r>
      <w:r>
        <w:rPr>
          <w:sz w:val="28"/>
          <w:szCs w:val="28"/>
        </w:rPr>
        <w:t xml:space="preserve">управленческого потенциала, неадекватность системы мониторинга реализации муниципальной программы, отставание от сроков реализации программных мероприятий).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Устранение (минимизация) рисков связано с качеством планирования реализации муниципальной программы, обеспечением мониторинга ее осуществления и оперативного внесения необходимых изменений.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Макроэкономические риски связаны с возможностью ухудшения внутренней и внешней конъюнктуры, снижением темпов роста нац</w:t>
      </w:r>
      <w:r>
        <w:rPr>
          <w:sz w:val="28"/>
          <w:szCs w:val="28"/>
        </w:rPr>
        <w:t xml:space="preserve">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услуг, снизить их доступность и сократить объем инвестиций в инфраструктуру отрасли.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</w:t>
      </w:r>
      <w:r>
        <w:rPr>
          <w:sz w:val="28"/>
          <w:szCs w:val="28"/>
        </w:rPr>
        <w:t xml:space="preserve">программного</w:t>
      </w:r>
      <w:r>
        <w:rPr>
          <w:sz w:val="28"/>
          <w:szCs w:val="28"/>
        </w:rPr>
        <w:t xml:space="preserve"> бюджетирования, охватывающего среднесрочную перспективу, данные риски можно оценить как умеренные.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отрицательное влияние на выполнен</w:t>
      </w:r>
      <w:r>
        <w:rPr>
          <w:sz w:val="28"/>
          <w:szCs w:val="28"/>
        </w:rPr>
        <w:t xml:space="preserve">ие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Вероятен лишь оперативный учет последствий их проявления.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финансовых рисков возможна на основе регулярного мониторинга и оценки эффективности реализации мероприятий муниципальной программы, своевременной корректировки перечня мероприятий и показателей муниципальной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вышеуказанных рисков достигается в ходе регулярного мониторинга и оценки эффективности реализации мероприятий муниципальной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7. Механизм реализации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 исполнителем муниципальной программы «Развитие общественного здоровья в городе Новоалтайске» (далее – ответственный исполнитель Программы) является комитет по социальным вопросам </w:t>
      </w:r>
      <w:bookmarkStart w:id="4" w:name="_GoBack"/>
      <w:r/>
      <w:bookmarkEnd w:id="4"/>
      <w:r>
        <w:rPr>
          <w:sz w:val="28"/>
          <w:szCs w:val="28"/>
        </w:rPr>
        <w:t xml:space="preserve">Администра</w:t>
      </w:r>
      <w:r>
        <w:rPr>
          <w:sz w:val="28"/>
          <w:szCs w:val="28"/>
        </w:rPr>
        <w:t xml:space="preserve">ция города Новоалтайска. Координация межведомственной деятельности по реализации программы осуществляется через заместителя главы Администрации города по социальной политике и главного врача КГБУЗ «Городская больница имени Л.Я. Литвиненко г. Новоалтайска».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обеспечивает разработку муниципальной программы, ее согласование с участниками и направляет на утверждение в установленном порядке;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формирует структуру муниципальной программы, а также перечень участников муниципальной программы;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координирует деятельность участников;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</w:t>
      </w:r>
      <w:r>
        <w:rPr>
          <w:sz w:val="28"/>
          <w:szCs w:val="28"/>
        </w:rPr>
        <w:t xml:space="preserve">рганизует реализацию муниципальной программы, принимает решение о внесении изменений в муниципальную программу и несет ответственность за достижение индикаторов муниципальной программы (показателей подпрограммы), а также конечных результатов ее реализации;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предоставляет в комитет по экономической политике и инвестициям Администрации города и </w:t>
      </w:r>
      <w:r>
        <w:rPr>
          <w:rFonts w:cs="Arial"/>
          <w:sz w:val="28"/>
        </w:rPr>
        <w:t xml:space="preserve">комитет по финансам, налоговой и кредитной политике</w:t>
      </w:r>
      <w:r>
        <w:rPr>
          <w:sz w:val="28"/>
          <w:szCs w:val="28"/>
        </w:rPr>
        <w:t xml:space="preserve"> Администрации города сведения, необходимые для проведения мониторинга реализации муниципальной программы;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проводит оценку эффективности муниципальной программы в соответствии с </w:t>
      </w:r>
      <w:hyperlink w:tooltip="#Par661" w:anchor="Par661" w:history="1">
        <w:r>
          <w:rPr>
            <w:sz w:val="28"/>
            <w:szCs w:val="28"/>
          </w:rPr>
          <w:t xml:space="preserve">Методикой</w:t>
        </w:r>
      </w:hyperlink>
      <w:r>
        <w:rPr>
          <w:sz w:val="28"/>
          <w:szCs w:val="28"/>
        </w:rPr>
        <w:t xml:space="preserve"> оценки эффективности муниципальной программы (приложение 2 к Порядку);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запрашивает у участников</w:t>
      </w:r>
      <w:r>
        <w:rPr>
          <w:sz w:val="28"/>
          <w:szCs w:val="28"/>
        </w:rPr>
        <w:t xml:space="preserve"> муниципальной программы информацию, необходимую для подготовки ежеквартальных отчетов по муниципальной программе, проведения оценки эффективности муниципальной программы и подготовки отчета о ходе реализации и оценке эффективности муниципальной программы;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рекомендует участникам муниципальной программы осуществить разработку отдельных мероприятий;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несет ответственность за своевременность и полноту предоставления ежеквартальных отчетов по муниципальной программе.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6.2. Участники: 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обеспечивают разработку и реализацию мероприятий муниципальной программы в рамках своей компетенции, а также несут ответственность за их исполнение;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осуществляют реализацию мероприятий муни</w:t>
      </w:r>
      <w:r>
        <w:rPr>
          <w:sz w:val="28"/>
          <w:szCs w:val="28"/>
        </w:rPr>
        <w:t xml:space="preserve">ципальной программы, несут ответственность за достижение индикаторов муниципальной программы (показателей подпрограммы) и конечных результатов ее реализации, а также за эффективность расходования бюджетных средств, предусмотренных муниципальной программой;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предоставляют ответственному исполнителю информацию, необходимую для проведения оценки эффективности муниципальной программы и подготовки ежеквартальных отчетов по муниципальной программе;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несут ответственность за своевременность и полноту предоставления ответственному исполнителю информации, необходимой для проведения оценки эффективности муниципальной программы и подготовки ежеквартальных отчетов по муниципальной программе.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outlineLvl w:val="2"/>
      </w:pPr>
      <w:r/>
      <w:r/>
    </w:p>
    <w:p>
      <w:pPr>
        <w:jc w:val="center"/>
        <w:widowControl w:val="off"/>
        <w:sectPr>
          <w:footnotePr/>
          <w:endnotePr/>
          <w:type w:val="nextPage"/>
          <w:pgSz w:w="11905" w:h="16838" w:orient="portrait"/>
          <w:pgMar w:top="567" w:right="567" w:bottom="1135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868"/>
        <w:ind w:left="10800"/>
      </w:pPr>
      <w:r>
        <w:t xml:space="preserve">Приложение 1</w:t>
      </w:r>
      <w:r/>
    </w:p>
    <w:p>
      <w:pPr>
        <w:pStyle w:val="868"/>
        <w:ind w:left="10800"/>
      </w:pPr>
      <w:r>
        <w:t xml:space="preserve">к муниципальной программе </w:t>
      </w:r>
      <w:r>
        <w:rPr>
          <w:szCs w:val="28"/>
        </w:rPr>
        <w:t xml:space="preserve">«Развитие общественного здоровья в городе Новоалтайске»</w:t>
      </w:r>
      <w:r/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/>
      <w:bookmarkStart w:id="5" w:name="Par263"/>
      <w:r/>
      <w:bookmarkEnd w:id="5"/>
      <w:r>
        <w:rPr>
          <w:sz w:val="28"/>
          <w:szCs w:val="28"/>
        </w:rPr>
        <w:t xml:space="preserve">Перечень индикаторов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624" w:type="dxa"/>
        <w:tblInd w:w="1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298"/>
        <w:gridCol w:w="1618"/>
        <w:gridCol w:w="992"/>
        <w:gridCol w:w="993"/>
        <w:gridCol w:w="998"/>
        <w:gridCol w:w="854"/>
        <w:gridCol w:w="841"/>
        <w:gridCol w:w="4769"/>
      </w:tblGrid>
      <w:tr>
        <w:tblPrEx/>
        <w:trPr>
          <w:trHeight w:val="141"/>
          <w:tblHeader/>
        </w:trPr>
        <w:tc>
          <w:tcPr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Наименование индикатора (показателя)</w:t>
            </w:r>
            <w:r/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Единица измерения</w:t>
            </w:r>
            <w:r/>
          </w:p>
        </w:tc>
        <w:tc>
          <w:tcPr>
            <w:gridSpan w:val="7"/>
            <w:tcW w:w="11065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/>
            <w:r/>
          </w:p>
        </w:tc>
      </w:tr>
      <w:tr>
        <w:tblPrEx/>
        <w:trPr>
          <w:trHeight w:val="141"/>
          <w:tblHeader/>
        </w:trPr>
        <w:tc>
          <w:tcPr>
            <w:tcW w:w="3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Предыдущий период</w:t>
            </w:r>
            <w:r/>
          </w:p>
        </w:tc>
        <w:tc>
          <w:tcPr>
            <w:gridSpan w:val="5"/>
            <w:tcW w:w="467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Период реализации муниципальной программы с разбивкой по годам</w:t>
            </w:r>
            <w:r/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Ожидаемые результаты реализации программы</w:t>
            </w:r>
            <w:r/>
          </w:p>
        </w:tc>
      </w:tr>
      <w:tr>
        <w:tblPrEx/>
        <w:trPr>
          <w:trHeight w:val="141"/>
          <w:tblHeader/>
        </w:trPr>
        <w:tc>
          <w:tcPr>
            <w:tcW w:w="3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2026</w:t>
            </w:r>
            <w:r/>
          </w:p>
          <w:p>
            <w:pPr>
              <w:pStyle w:val="870"/>
              <w:jc w:val="center"/>
              <w:rPr>
                <w:lang w:val="en-US"/>
              </w:rPr>
            </w:pPr>
            <w:r>
              <w:t xml:space="preserve">год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2027</w:t>
            </w:r>
            <w:r/>
          </w:p>
          <w:p>
            <w:pPr>
              <w:pStyle w:val="870"/>
              <w:jc w:val="center"/>
            </w:pPr>
            <w:r>
              <w:t xml:space="preserve">год</w:t>
            </w:r>
            <w:r/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rPr>
                <w:lang w:val="en-US"/>
              </w:rPr>
              <w:t xml:space="preserve">2</w:t>
            </w:r>
            <w:r>
              <w:t xml:space="preserve">028</w:t>
            </w:r>
            <w:r/>
          </w:p>
          <w:p>
            <w:pPr>
              <w:pStyle w:val="870"/>
              <w:jc w:val="center"/>
            </w:pPr>
            <w:r>
              <w:t xml:space="preserve">год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1"/>
          <w:tblHeader/>
        </w:trPr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1</w:t>
            </w:r>
            <w:r/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2</w:t>
            </w:r>
            <w:r/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3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4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5</w:t>
            </w:r>
            <w:r/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6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7</w:t>
            </w:r>
            <w:r/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8</w:t>
            </w:r>
            <w:r/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9</w:t>
            </w:r>
            <w:r/>
          </w:p>
        </w:tc>
      </w:tr>
      <w:tr>
        <w:tblPrEx/>
        <w:trPr>
          <w:trHeight w:val="141"/>
        </w:trPr>
        <w:tc>
          <w:tcPr>
            <w:gridSpan w:val="9"/>
            <w:tcW w:w="15624" w:type="dxa"/>
            <w:vAlign w:val="center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Цель программы: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</w:t>
            </w:r>
            <w:r>
              <w:t xml:space="preserve">межсекторального</w:t>
            </w:r>
            <w:r>
              <w:t xml:space="preserve">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</w:t>
            </w:r>
            <w:r/>
          </w:p>
        </w:tc>
      </w:tr>
      <w:tr>
        <w:tblPrEx/>
        <w:trPr>
          <w:trHeight w:val="141"/>
        </w:trPr>
        <w:tc>
          <w:tcPr>
            <w:gridSpan w:val="9"/>
            <w:tcBorders>
              <w:left w:val="single" w:color="000000" w:sz="4" w:space="0"/>
            </w:tcBorders>
            <w:tcW w:w="15624" w:type="dxa"/>
            <w:vAlign w:val="center"/>
            <w:textDirection w:val="lrTb"/>
            <w:noWrap w:val="false"/>
          </w:tcPr>
          <w:p>
            <w:pPr>
              <w:pStyle w:val="87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Задача 1.  Сохранение и улучшение репродуктивного здоровья населения.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Удельный вес беременных женщин, прошедших обучение в школах здоровья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удельного веса беременных женщин, прошедших обучение в школах здоровья до 100%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Удельный вес взрослого населения, обученного в школах здоровья, из числа лиц, состоящих на диспансерном учете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удельного веса взрослого населения, обученного в школах здоровья, из числа лиц, состоящих на диспансерном учете до 70%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Младенческая смертность на (1000 детей родившихся живыми)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vMerge w:val="restart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младенческой смертность на (1000 детей родившихся живыми) до коэффициента 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4.Количество беременностей среди несовершеннолетних девочек-подростков в расчете на  1000 девочек 15-17 возраста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vMerge w:val="restart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количества беременностей среди несовершеннолетних девочек-подростков в расчете на 1000 девочек 15-17 возраста до коэффициента 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Количество абортов среди женщин фертильного </w:t>
            </w:r>
            <w:r>
              <w:rPr>
                <w:sz w:val="24"/>
                <w:szCs w:val="24"/>
              </w:rPr>
              <w:t xml:space="preserve">возраста на 1000 женщин фертильного возраста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3,9</w:t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3,8</w:t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3,6</w:t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</w:t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3,2</w:t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количества абортов среди женщин фертильного возраста на 1000 </w:t>
            </w:r>
            <w:r>
              <w:rPr>
                <w:sz w:val="24"/>
                <w:szCs w:val="24"/>
              </w:rPr>
              <w:t xml:space="preserve">женщин фертильного возраста до коэффициента 3,2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1"/>
        </w:trPr>
        <w:tc>
          <w:tcPr>
            <w:gridSpan w:val="9"/>
            <w:tcBorders>
              <w:left w:val="single" w:color="000000" w:sz="4" w:space="0"/>
            </w:tcBorders>
            <w:tcW w:w="15624" w:type="dxa"/>
            <w:vAlign w:val="center"/>
            <w:textDirection w:val="lrTb"/>
            <w:noWrap w:val="false"/>
          </w:tcPr>
          <w:p>
            <w:pPr>
              <w:pStyle w:val="8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Сохранение и укрепление здоровья детей дошкольного и школьного возраста.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 Охват диспансеризацией детей-сирот, детей находящихся в трудной жизненной ситуации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Сохранение охвата диспансеризацией детей-сирот, детей находящихся в трудной жизненной ситуации на уровне 100%</w:t>
            </w:r>
            <w:r/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 Охват диспансеризацией подростков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Сохранение охвата диспансеризацией подростков на уровне 100%</w:t>
            </w:r>
            <w:r/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 Доля </w:t>
            </w:r>
            <w:r>
              <w:rPr>
                <w:sz w:val="24"/>
                <w:szCs w:val="24"/>
              </w:rPr>
              <w:t xml:space="preserve">МОУ</w:t>
            </w:r>
            <w:r>
              <w:rPr>
                <w:sz w:val="24"/>
                <w:szCs w:val="24"/>
              </w:rPr>
              <w:t xml:space="preserve"> в которых проведены информационно-разъяснительные мероприятия в сфере ф</w:t>
            </w:r>
            <w:r>
              <w:rPr>
                <w:sz w:val="24"/>
                <w:szCs w:val="24"/>
              </w:rPr>
              <w:t xml:space="preserve">изической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  <w:spacing w:after="240"/>
            </w:pPr>
            <w:r>
              <w:t xml:space="preserve">Увеличение доли </w:t>
            </w:r>
            <w:r>
              <w:t xml:space="preserve">МОУ</w:t>
            </w:r>
            <w:r>
              <w:t xml:space="preserve"> в которых проведены информационно-разъяснительные мероприятия в сфере физическо</w:t>
            </w:r>
            <w:r>
              <w:t xml:space="preserve">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 до 100%</w:t>
            </w:r>
            <w:r/>
          </w:p>
        </w:tc>
      </w:tr>
      <w:tr>
        <w:tblPrEx/>
        <w:trPr>
          <w:trHeight w:val="329"/>
        </w:trPr>
        <w:tc>
          <w:tcPr>
            <w:gridSpan w:val="9"/>
            <w:tcBorders>
              <w:left w:val="single" w:color="000000" w:sz="4" w:space="0"/>
            </w:tcBorders>
            <w:tcW w:w="15624" w:type="dxa"/>
            <w:vAlign w:val="center"/>
            <w:textDirection w:val="lrTb"/>
            <w:noWrap w:val="false"/>
          </w:tcPr>
          <w:p>
            <w:pPr>
              <w:pStyle w:val="8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Сохранение и укрепление здоровья граждан трудоспособного и  пожилого возраста.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.Уровень первичной инвалидности взрослого населения (на 10 тыс. взрослого населения)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уровня инвалидности взрослого населения (на 10 тыс. взрослого населения) до коэффициента 65,0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 Смертность населения трудоспособного возраста (на 100 тыс. нас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рудоспособного возраста)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7"/>
              <w:jc w:val="both"/>
              <w:spacing w:line="252" w:lineRule="auto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Снижение смертности населения трудоспособного возраста (на 100 тыс. нас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рудоспособного возраста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) до коэффициента 301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gridSpan w:val="9"/>
            <w:tcBorders>
              <w:left w:val="single" w:color="000000" w:sz="4" w:space="0"/>
            </w:tcBorders>
            <w:tcW w:w="15624" w:type="dxa"/>
            <w:vAlign w:val="center"/>
            <w:textDirection w:val="lrTb"/>
            <w:noWrap w:val="false"/>
          </w:tcPr>
          <w:p>
            <w:pPr>
              <w:pStyle w:val="8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Задача 4.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Реализация мероприятий по профилактике заболеваний и формированию здорового образа жизни граждан города.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11.</w:t>
            </w:r>
            <w:r>
              <w:rPr>
                <w:sz w:val="24"/>
                <w:szCs w:val="24"/>
              </w:rPr>
              <w:t xml:space="preserve"> Смертность от болезней кровообращения  (на 100 тыс. нас.)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vMerge w:val="restart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смертности от болезней кровообращения (на 100 тыс. нас.) до коэффициента 400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12.Смертность от новообразований, в том числе злокачественных (на 100 тыс. нас.)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vMerge w:val="restart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Смертность от новообразований, в том числе злокачественных (на 100 тыс. нас.) до коэффициента 200,8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Общая смертность (на 1000 населения)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12,1</w:t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12,0</w:t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11,9</w:t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11,8</w:t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11,7</w:t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11,6</w:t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vMerge w:val="restart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показателя общей смертности (на 1000 населения) до коэффициента 11,6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14.Обращаемость в медицинские организации по вопросам ЗОЖ (на тысячу человек населения)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%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322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340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360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383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401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4769" w:type="dxa"/>
            <w:vAlign w:val="center"/>
            <w:vMerge w:val="restart"/>
            <w:textDirection w:val="lrTb"/>
            <w:noWrap w:val="false"/>
          </w:tcPr>
          <w:p>
            <w:pPr>
              <w:ind w:right="159"/>
              <w:jc w:val="both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Увеличение коэффициента обращаемости в медицинские организации по вопросам ЗОЖ (на тысячу человек населения) до 401,0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Охват диспансеризацией и профилактическими осмотрами определенных гру</w:t>
            </w:r>
            <w:r>
              <w:rPr>
                <w:sz w:val="24"/>
                <w:szCs w:val="24"/>
              </w:rPr>
              <w:t xml:space="preserve">пп взр</w:t>
            </w:r>
            <w:r>
              <w:rPr>
                <w:sz w:val="24"/>
                <w:szCs w:val="24"/>
              </w:rPr>
              <w:t xml:space="preserve">ослого населения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Увеличение охвата диспансеризацией</w:t>
            </w:r>
            <w:r>
              <w:t xml:space="preserve"> и профилактическими осмотрами</w:t>
            </w:r>
            <w:r>
              <w:t xml:space="preserve"> определенных гру</w:t>
            </w:r>
            <w:r>
              <w:t xml:space="preserve">пп взр</w:t>
            </w:r>
            <w:r>
              <w:t xml:space="preserve">ослого населения до 100 %</w:t>
            </w:r>
            <w:r/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16.Охват населения прививками против гриппа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Увеличение охвата населения прививками против гриппа до 50,0 %</w:t>
            </w:r>
            <w:r/>
          </w:p>
        </w:tc>
      </w:tr>
      <w:tr>
        <w:tblPrEx/>
        <w:trPr>
          <w:trHeight w:val="141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Охват лиц из групп риска прививками против гриппа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Увеличение охвата лиц из групп риска прививками против гриппа до 80,0 %</w:t>
            </w:r>
            <w:r/>
          </w:p>
        </w:tc>
      </w:tr>
      <w:tr>
        <w:tblPrEx/>
        <w:trPr>
          <w:trHeight w:val="386"/>
        </w:trPr>
        <w:tc>
          <w:tcPr>
            <w:gridSpan w:val="9"/>
            <w:tcBorders>
              <w:left w:val="single" w:color="000000" w:sz="4" w:space="0"/>
            </w:tcBorders>
            <w:tcW w:w="15624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  <w:highlight w:val="white"/>
              </w:rPr>
              <w:outlineLvl w:val="2"/>
            </w:pPr>
            <w:r>
              <w:rPr>
                <w:sz w:val="24"/>
                <w:szCs w:val="24"/>
                <w:highlight w:val="white"/>
              </w:rPr>
              <w:t xml:space="preserve">Задача 5. Создание благоприятных условий по привлечению медицинских работников для работы в КГБУЗ «Городская больница имени Л.Я. Литвиненко г. Новоалтайска».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07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right="-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Количество молодых специалистов с высшим образованием, получивших единовременную денежную выплату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чел.</w:t>
            </w:r>
            <w:r/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0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1</w:t>
            </w:r>
            <w:r/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1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1</w:t>
            </w:r>
            <w:r/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</w:pPr>
            <w:r>
              <w:t xml:space="preserve">1</w:t>
            </w:r>
            <w:r/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молодых специалистов с высшим образованием, получивших единовременную денежную выплату не менее 5 чел.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58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Укомплектованность МО медработниками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Увеличение укомплектованности МО медработниками до 90 %</w:t>
            </w:r>
            <w:r/>
          </w:p>
        </w:tc>
      </w:tr>
      <w:tr>
        <w:tblPrEx/>
        <w:trPr>
          <w:trHeight w:val="1686"/>
        </w:trPr>
        <w:tc>
          <w:tcPr>
            <w:tcBorders>
              <w:left w:val="single" w:color="000000" w:sz="4" w:space="0"/>
            </w:tcBorders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Обеспеченность врачами и средним персоналом в учреждениях здравоохранения в расчете на 10 тыс. человек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9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jc w:val="both"/>
            </w:pPr>
            <w:r>
              <w:t xml:space="preserve">Увеличение коэффициента  обеспеченности врачами и средним персоналом в учреждениях здравоохранения в расчете на 10 тыс. человек 78</w:t>
            </w:r>
            <w:r/>
          </w:p>
        </w:tc>
      </w:tr>
    </w:tbl>
    <w:p>
      <w:r/>
      <w:r/>
    </w:p>
    <w:p>
      <w:r/>
      <w:r/>
    </w:p>
    <w:p>
      <w:r/>
      <w:r/>
    </w:p>
    <w:p>
      <w:r/>
      <w:r/>
    </w:p>
    <w:p>
      <w:pPr>
        <w:sectPr>
          <w:footnotePr/>
          <w:endnotePr/>
          <w:type w:val="nextPage"/>
          <w:pgSz w:w="16838" w:h="11905" w:orient="landscape"/>
          <w:pgMar w:top="567" w:right="536" w:bottom="1134" w:left="709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868"/>
        <w:ind w:left="10773"/>
      </w:pPr>
      <w:r>
        <w:t xml:space="preserve">Приложение 2</w:t>
      </w:r>
      <w:r/>
    </w:p>
    <w:p>
      <w:pPr>
        <w:pStyle w:val="868"/>
        <w:ind w:left="10773"/>
        <w:rPr>
          <w:szCs w:val="28"/>
        </w:rPr>
      </w:pPr>
      <w:r>
        <w:t xml:space="preserve">к муниципальной программе </w:t>
      </w:r>
      <w:r>
        <w:rPr>
          <w:szCs w:val="28"/>
        </w:rPr>
        <w:t xml:space="preserve">«Развитие общественного здоровья в городе Новоалтайске»</w:t>
      </w:r>
      <w:r>
        <w:rPr>
          <w:szCs w:val="28"/>
        </w:rPr>
      </w:r>
      <w:r>
        <w:rPr>
          <w:szCs w:val="28"/>
        </w:rPr>
      </w:r>
    </w:p>
    <w:p>
      <w:pPr>
        <w:pStyle w:val="868"/>
        <w:ind w:left="10773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68"/>
        <w:ind w:left="10773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693"/>
        <w:tblW w:w="154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713"/>
        <w:gridCol w:w="1440"/>
        <w:gridCol w:w="2340"/>
        <w:gridCol w:w="720"/>
        <w:gridCol w:w="900"/>
        <w:gridCol w:w="900"/>
        <w:gridCol w:w="900"/>
        <w:gridCol w:w="880"/>
        <w:gridCol w:w="992"/>
        <w:gridCol w:w="2088"/>
      </w:tblGrid>
      <w:tr>
        <w:tblPrEx/>
        <w:trPr/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Цель, задача, мероприятие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реализации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исполнитель, соисполнители, участники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W w:w="52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расходов, тыс. рублей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36"/>
        </w:trPr>
        <w:tc>
          <w:tcPr>
            <w:tcW w:w="54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5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5"/>
        </w:trPr>
        <w:tc>
          <w:tcPr>
            <w:gridSpan w:val="11"/>
            <w:tcW w:w="154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«Развитие общественного здоровья в городе Новоалтайске»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474"/>
        </w:trPr>
        <w:tc>
          <w:tcPr>
            <w:tcW w:w="540" w:type="dxa"/>
            <w:textDirection w:val="lrTb"/>
            <w:noWrap w:val="false"/>
          </w:tcPr>
          <w:p>
            <w:pPr>
              <w:ind w:left="-102" w:right="-89"/>
              <w:jc w:val="center"/>
              <w:widowControl w:val="off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</w:t>
            </w:r>
            <w:r>
              <w:rPr>
                <w:b/>
                <w:sz w:val="24"/>
                <w:szCs w:val="24"/>
              </w:rPr>
              <w:t xml:space="preserve">межсекторального</w:t>
            </w:r>
            <w:r>
              <w:rPr>
                <w:b/>
                <w:sz w:val="24"/>
                <w:szCs w:val="24"/>
              </w:rPr>
              <w:t xml:space="preserve">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– 2030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ОСВ, КГБУЗ НГБ, КО, КК,  КФИС,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 КЦСОН, </w:t>
            </w:r>
            <w:r>
              <w:rPr>
                <w:sz w:val="24"/>
                <w:szCs w:val="24"/>
              </w:rPr>
              <w:t xml:space="preserve">СВ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округа, 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006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pStyle w:val="8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Задача 1.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Сохранение и улучшение репродуктивного здоровья населения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КГБУЗ НГБ, КЦСОН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42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1.1. Оценка </w:t>
            </w:r>
            <w:r>
              <w:rPr>
                <w:sz w:val="24"/>
                <w:szCs w:val="24"/>
                <w:highlight w:val="white"/>
              </w:rPr>
              <w:t xml:space="preserve">состояния репродуктивного здоровья</w:t>
            </w:r>
            <w:r>
              <w:rPr>
                <w:sz w:val="24"/>
                <w:szCs w:val="24"/>
              </w:rPr>
              <w:t xml:space="preserve"> мужчин и женщин, анализ работы кабинетов планирования семьи медицинских организаций, «Подготовленные роды», Центра планирования семьи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42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1.2. Организация и проведение просветительских занятий по вопросам репродуктивного здоровья и ответственного </w:t>
            </w:r>
            <w:r>
              <w:rPr>
                <w:sz w:val="24"/>
                <w:szCs w:val="24"/>
                <w:highlight w:val="white"/>
              </w:rPr>
              <w:t xml:space="preserve">родительства</w:t>
            </w:r>
            <w:r>
              <w:rPr>
                <w:sz w:val="24"/>
                <w:szCs w:val="24"/>
                <w:highlight w:val="white"/>
              </w:rPr>
              <w:t xml:space="preserve"> для взрослого населения по заявкам предприятий, организаций и для семей, находящихся на социальном патронате Комплексного центра социальной помощи семье и детям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42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1.3. Организация в женских консультациях и гинекологических отделениях медицинских организаций школ здоровья для беременных, школы женского здоровья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43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1.4. Взаимодействие с перинатальным центром «Дар» по вопросу предоставления социальных услуг беременным женщинам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КЦСОН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pStyle w:val="87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ru-RU"/>
              </w:rPr>
              <w:t xml:space="preserve">2. Сохранение и укрепление здоровья детей дошкольного и школьного возраста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НГБ, КО, КФИС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округа, 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2.1. </w:t>
            </w:r>
            <w:r>
              <w:rPr>
                <w:sz w:val="24"/>
                <w:szCs w:val="24"/>
              </w:rPr>
              <w:t xml:space="preserve">Проведение диспансеризации и профилактических осмотров детей дошкольного и школьного возраста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2.2.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2026-2030   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 (в рамках муниципальной программы «Развитие системы образования в городе Новоалтайске»)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</w:t>
            </w:r>
            <w:r>
              <w:rPr>
                <w:sz w:val="24"/>
                <w:szCs w:val="24"/>
                <w:highlight w:val="white"/>
              </w:rPr>
              <w:t xml:space="preserve">ие 2.3. Популяризация массовых видов спорта среди детей, молодежи и взрослого населения спорта через поощрение спортсменов и тренеров достигши</w:t>
            </w:r>
            <w:r>
              <w:rPr>
                <w:sz w:val="24"/>
                <w:szCs w:val="24"/>
              </w:rPr>
              <w:t xml:space="preserve">х высоких спортивных результатов на краевых, республиканских и международных соревнованиях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КФИС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 городского округа (в рамках муниципальной программы «Развитие физической культуры и спорта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городе Новоалтайске»)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2.4. Организация спортивно-массовой работы с детьми по месту жительства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КФИС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red"/>
              </w:rPr>
            </w:r>
            <w:r>
              <w:rPr>
                <w:sz w:val="24"/>
                <w:szCs w:val="24"/>
                <w:highlight w:val="red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red"/>
              </w:rPr>
            </w:r>
            <w:r>
              <w:rPr>
                <w:sz w:val="24"/>
                <w:szCs w:val="24"/>
                <w:highlight w:val="red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red"/>
              </w:rPr>
            </w:r>
            <w:r>
              <w:rPr>
                <w:sz w:val="24"/>
                <w:szCs w:val="24"/>
                <w:highlight w:val="red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red"/>
              </w:rPr>
            </w:r>
            <w:r>
              <w:rPr>
                <w:sz w:val="24"/>
                <w:szCs w:val="24"/>
                <w:highlight w:val="red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red"/>
              </w:rPr>
            </w:r>
            <w:r>
              <w:rPr>
                <w:sz w:val="24"/>
                <w:szCs w:val="24"/>
                <w:highlight w:val="red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  <w:highlight w:val="red"/>
              </w:rPr>
            </w:r>
            <w:r>
              <w:rPr>
                <w:sz w:val="24"/>
                <w:szCs w:val="24"/>
                <w:highlight w:val="red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 городского округа (в рамках муниципальной программы «Развитие физической культуры и спорта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городе Новоалтайске»)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2.5. Организация работы лагерей с дневным пребыванием детей на базе образовательных организаций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 –2030 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 (в рамках муниципальной программы «Развитие системы образования в городе Новоалтайске»)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2.6. Разработка  памяток для детей и родителей по основам безопасности жизнедеятельности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2026-2030   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(в рамках муниципальной программы «Развитие системы </w:t>
            </w:r>
            <w:r>
              <w:rPr>
                <w:sz w:val="24"/>
                <w:szCs w:val="24"/>
                <w:highlight w:val="white"/>
              </w:rPr>
              <w:t xml:space="preserve">образования в городе Новоалтайске»)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bCs/>
                <w:sz w:val="24"/>
                <w:szCs w:val="24"/>
                <w:highlight w:val="red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Задача 3. Сохранение и укрепление здоровья граждан трудоспособного и  пожилого возраста</w:t>
            </w:r>
            <w:r>
              <w:rPr>
                <w:b/>
                <w:bCs/>
                <w:sz w:val="24"/>
                <w:szCs w:val="24"/>
                <w:highlight w:val="red"/>
              </w:rPr>
            </w:r>
            <w:r>
              <w:rPr>
                <w:b/>
                <w:bCs/>
                <w:sz w:val="24"/>
                <w:szCs w:val="24"/>
                <w:highlight w:val="red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НГБ, КЦСОН,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КФИС, КО, ОСВ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3.1. Обеспечение проведения диспансеризации населения трудоспособного возраста в рамках ПНП «Здравоохранение»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3.2. Проведение </w:t>
            </w:r>
            <w:r>
              <w:rPr>
                <w:sz w:val="24"/>
                <w:szCs w:val="24"/>
              </w:rPr>
              <w:t xml:space="preserve">скрининговых</w:t>
            </w:r>
            <w:r>
              <w:rPr>
                <w:sz w:val="24"/>
                <w:szCs w:val="24"/>
              </w:rPr>
              <w:t xml:space="preserve"> исследований по выявлению факторов риска НИЗ в центрах здоровья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17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3.3. Организация работы «Школы ухода» по обучению граждан навыкам и основам ухода за пожилыми гражданами и инвалидами в домашних условиях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КЦСОН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3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3.4. Организация пункта проката технических средств реабилитации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КЦСОН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01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3.5. Доставка лиц, старше 65 лет в медицинские организации в рамках регионального проекта «Старшее поколение»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        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КЦСОН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01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3.6. Проведение городских акций по сохранению здоровья в пожилом возрасте в рамках Месячника пожилого человека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2026-2030            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КФИС, КО, ОСВ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внебюджетные источники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92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pStyle w:val="87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Задача 4. Реализация мероприятий по профилактике заболеваний и формированию здоров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ого образа жизни граждан города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НГБ, КО, ОДМ,  КЦСОН, КК, КФИС, ОСВ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округа, 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92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4.1. Распространение информации о формировании мотивации к здоровому образу жизни, прохождению диспансеризации, профилактических осмотров и вакцинации против гриппа и других профилактических прививок через социальные сети 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2026-2030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ind w:left="-5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КГБУЗ НГБ,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-5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ОСВ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92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4.2. Акция с раздачей печатной продукции «В будущее без наркотиков»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КЦСОН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92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4.3. Организация и проведение акций здоровье сберегающей направленности, включая профилактику ДТП, в международные и всемирные даты ВОЗ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2026-2030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vMerge w:val="restart"/>
            <w:textDirection w:val="lrTb"/>
            <w:noWrap w:val="false"/>
          </w:tcPr>
          <w:p>
            <w:pPr>
              <w:pStyle w:val="883"/>
              <w:ind w:left="-55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КГБУЗ НГБ, КО, ОДМ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929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4.4. Проведение городских мероприятий в рамках общей идеи «здорового образа жизни»: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-Месячник здорового образа жизни;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акция «Стоп ВИЧ/СПИД» в рамках Всероссийских акций;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акция «Стоп Наркотик», приуроченная Международному дню борьбы с наркоманией и наркобизнесом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 – 2030 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КО, КК, КФИС, КЦСОН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 (в рамках муниципальной программы «Молодежь города Новоалтайска»)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29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Мероприятие 4.5. Проведение городских акций по сбору донорской крови «Подари жизнь»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2026-2030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гг.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08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sz w:val="24"/>
                <w:szCs w:val="24"/>
                <w:highlight w:val="white"/>
              </w:rPr>
              <w:outlineLvl w:val="2"/>
            </w:pPr>
            <w:r>
              <w:rPr>
                <w:b/>
                <w:sz w:val="24"/>
                <w:szCs w:val="24"/>
              </w:rPr>
              <w:t xml:space="preserve">Задача 5.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Создание благоприятных условий по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привлечению медицинских работников для работы в КГБУЗ «Городская больница имени Л.Я. Литвиненко г. Новоалтайска»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КГБУЗ НГБ,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округа, </w:t>
            </w:r>
            <w:r>
              <w:rPr>
                <w:sz w:val="24"/>
                <w:szCs w:val="24"/>
              </w:rPr>
              <w:t xml:space="preserve">внебюджетные источники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68"/>
        </w:trPr>
        <w:tc>
          <w:tcPr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13" w:type="dxa"/>
            <w:textDirection w:val="lrTb"/>
            <w:noWrap w:val="false"/>
          </w:tcPr>
          <w:p>
            <w:pPr>
              <w:pStyle w:val="884"/>
              <w:ind w:firstLine="0"/>
              <w:jc w:val="both"/>
              <w:spacing w:after="0"/>
              <w:shd w:val="clear" w:color="auto" w:fill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Мероприятие 5.1.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Обеспечение укомплектованности медицинских организаций медицинскими работниками (врачами и средним медицинским персоналом):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  <w:p>
            <w:pPr>
              <w:pStyle w:val="884"/>
              <w:ind w:firstLine="0"/>
              <w:jc w:val="both"/>
              <w:spacing w:after="0"/>
              <w:shd w:val="clear" w:color="auto" w:fill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единовременная денежная выплата молодому специалисту с высшим образованием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ОСВ, КГБУЗ НГБ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right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Термины и принятые сокращения: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Общественное здоровье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медико-социальный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ресурс и потенциал общества, способствующий обеспечению национальной 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опасности. Общественное здоровье обусловлено комплексом воздействий социальных, поведенческих и биологических факторов, его улучшение способствует увеличению продолжительности и качества жизни, благополучию людей, гармоничному развитию личности и общества.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Детерминанты здоровья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к детерминантам здоровья относятся факторы, влияние на здоровье которых научно доказано: уровень доходов, качество жилья, уровень образ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ования, благоустройство мест обитания, развитие транспорта, качество и доступность медицинской помощи, качество питания, зависимости (курение табака, алкоголизм и наркомания), условия работы, безработица, социальная изоляция, а также факторы внешней среды.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Охрана здоровья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«...совокупность мер политического, экономического, правового, социального, культурного, медицинского, санитарно-эпидемиологического характера, направленных на сохранение и укрепление физического и психического здоровья каждого человека, поддержание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его активной долголетней жизни и предоставление ему медицинской помощи в случае утраты здоровья» (из «Концепции охраны здоровья населения Российской Федерации на период до 2005 года», Распоряжение Правительства Российской Федерации от 31.08.2000 № 1202-р).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82"/>
        <w:ind w:firstLine="709"/>
        <w:jc w:val="both"/>
        <w:spacing w:after="0" w:line="252" w:lineRule="auto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Стратегия ВОЗ «Здоровье для всех»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подписанная странами, членами ООН и ВОЗ стратегия, направленная на улучшение здоровья населения.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Проект ВОЗ «Здоровые города»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комплекс современных развивающихся социальных технологий ВОЗ по внедрению на местном муниципальном уровне программ укреп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ления здоровья населения, реализации Стратегии ВОЗ «Здоровье для всех». Проект ВОЗ «Здоровые города», предполагает участие в городских программах здоровья всех ветвей власти, заинтересованных секторов и ведомств, ученых, представителей общественности, СМИ.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82"/>
        <w:ind w:firstLine="709"/>
        <w:jc w:val="both"/>
        <w:spacing w:after="0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Школы здоровья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метод просветительской работы с населением, направленный на повышение гигиени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ческой грамотности, культуры здоровья и на формирование ответственного отношения людей к здоровью, на формирование навыков здорового образа жизни. Школы здоровья могут проводиться в учреждениях здравоохранения, других учреждениях, на рабочих местах и т. д.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КГБУЗ  НГБ - КГБУЗ  «Городская больница имени Л.Я. Литвиненко г. Новоалтайска»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КО</w:t>
      </w:r>
      <w:r>
        <w:rPr>
          <w:sz w:val="24"/>
          <w:szCs w:val="24"/>
        </w:rPr>
        <w:t xml:space="preserve"> – Комитет по образованию Администрации города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КК – Комитет по культуре Администрации города Новоалтайска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КФИС – Комитет по физической культуре и спорту Администрации города Новоалтайска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КЦСОН – Краевое государственное бюджетное учреждение социального обслуживания «Комплексный центр социального обслуживания населения города Новоалтайска»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ОДМ – Отдел по делам молодежи комитета по социальным вопросам Администрации города Новоалтайска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ОСВ - Отдел по социальным вопросам Администрации города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СВ</w:t>
      </w:r>
      <w:r>
        <w:rPr>
          <w:sz w:val="24"/>
          <w:szCs w:val="24"/>
        </w:rPr>
        <w:t xml:space="preserve">  - Городской Совет ветеранов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widowControl w:val="off"/>
        <w:rPr>
          <w:sz w:val="28"/>
          <w:szCs w:val="28"/>
        </w:rPr>
        <w:outlineLvl w:val="2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ectPr>
          <w:footnotePr/>
          <w:endnotePr/>
          <w:type w:val="nextPage"/>
          <w:pgSz w:w="16838" w:h="11905" w:orient="landscape"/>
          <w:pgMar w:top="360" w:right="567" w:bottom="284" w:left="851" w:header="709" w:footer="709" w:gutter="0"/>
          <w:cols w:num="1" w:sep="0" w:space="720" w:equalWidth="1"/>
          <w:docGrid w:linePitch="360"/>
        </w:sectPr>
      </w:pPr>
      <w:r/>
      <w:r/>
    </w:p>
    <w:p>
      <w:pPr>
        <w:ind w:left="5103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Приложение 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«Развитие общественного здоровья в городе Новоалтайске»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Объем финансовых ресурсов,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необходимых</w:t>
      </w:r>
      <w:r>
        <w:rPr>
          <w:sz w:val="28"/>
          <w:szCs w:val="28"/>
        </w:rPr>
        <w:t xml:space="preserve"> для реализации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</w:p>
    <w:tbl>
      <w:tblPr>
        <w:tblW w:w="9571" w:type="dxa"/>
        <w:tblInd w:w="102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4680"/>
        <w:gridCol w:w="720"/>
        <w:gridCol w:w="720"/>
        <w:gridCol w:w="720"/>
        <w:gridCol w:w="839"/>
        <w:gridCol w:w="900"/>
        <w:gridCol w:w="99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4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и направления расходов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расходов, тыс. рублей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ind w:left="180" w:right="18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финансовых затрат, 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городского бюджета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ind w:left="180" w:right="18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Капитальные вложения, 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бюджета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ind w:left="180" w:right="18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расходы, 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бюджета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8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668"/>
    <w:next w:val="668"/>
    <w:link w:val="8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7">
    <w:name w:val="Heading 2"/>
    <w:basedOn w:val="668"/>
    <w:next w:val="668"/>
    <w:link w:val="82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8">
    <w:name w:val="Heading 3"/>
    <w:basedOn w:val="668"/>
    <w:next w:val="668"/>
    <w:link w:val="8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9">
    <w:name w:val="Heading 4"/>
    <w:basedOn w:val="668"/>
    <w:next w:val="668"/>
    <w:link w:val="8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668"/>
    <w:next w:val="668"/>
    <w:link w:val="8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668"/>
    <w:next w:val="668"/>
    <w:link w:val="8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668"/>
    <w:next w:val="668"/>
    <w:link w:val="8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668"/>
    <w:next w:val="668"/>
    <w:link w:val="8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668"/>
    <w:next w:val="668"/>
    <w:link w:val="8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665">
    <w:name w:val="Header"/>
    <w:basedOn w:val="668"/>
    <w:link w:val="8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66">
    <w:name w:val="Footer"/>
    <w:basedOn w:val="668"/>
    <w:link w:val="85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67">
    <w:name w:val="Caption"/>
    <w:basedOn w:val="668"/>
    <w:next w:val="668"/>
    <w:link w:val="6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68" w:default="1">
    <w:name w:val="Normal"/>
    <w:qFormat/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Title Char"/>
    <w:basedOn w:val="669"/>
    <w:uiPriority w:val="10"/>
    <w:rPr>
      <w:sz w:val="48"/>
      <w:szCs w:val="48"/>
    </w:rPr>
  </w:style>
  <w:style w:type="character" w:styleId="673" w:customStyle="1">
    <w:name w:val="Subtitle Char"/>
    <w:basedOn w:val="669"/>
    <w:uiPriority w:val="11"/>
    <w:rPr>
      <w:sz w:val="24"/>
      <w:szCs w:val="24"/>
    </w:rPr>
  </w:style>
  <w:style w:type="character" w:styleId="674" w:customStyle="1">
    <w:name w:val="Quote Char"/>
    <w:uiPriority w:val="29"/>
    <w:rPr>
      <w:i/>
    </w:rPr>
  </w:style>
  <w:style w:type="character" w:styleId="675" w:customStyle="1">
    <w:name w:val="Intense Quote Char"/>
    <w:uiPriority w:val="30"/>
    <w:rPr>
      <w:i/>
    </w:rPr>
  </w:style>
  <w:style w:type="character" w:styleId="676" w:customStyle="1">
    <w:name w:val="Footnote Text Char"/>
    <w:uiPriority w:val="99"/>
    <w:rPr>
      <w:sz w:val="18"/>
    </w:rPr>
  </w:style>
  <w:style w:type="character" w:styleId="677" w:customStyle="1">
    <w:name w:val="Endnote Text Char"/>
    <w:uiPriority w:val="99"/>
    <w:rPr>
      <w:sz w:val="20"/>
    </w:rPr>
  </w:style>
  <w:style w:type="paragraph" w:styleId="678" w:customStyle="1">
    <w:name w:val="Заголовок 11"/>
    <w:basedOn w:val="668"/>
    <w:next w:val="668"/>
    <w:qFormat/>
    <w:pPr>
      <w:keepNext/>
      <w:outlineLvl w:val="0"/>
    </w:pPr>
    <w:rPr>
      <w:sz w:val="28"/>
    </w:rPr>
  </w:style>
  <w:style w:type="paragraph" w:styleId="679" w:customStyle="1">
    <w:name w:val="Заголовок 21"/>
    <w:basedOn w:val="668"/>
    <w:next w:val="668"/>
    <w:qFormat/>
    <w:pPr>
      <w:ind w:left="2160" w:firstLine="250"/>
      <w:keepNext/>
      <w:outlineLvl w:val="1"/>
    </w:pPr>
    <w:rPr>
      <w:b/>
      <w:sz w:val="28"/>
    </w:rPr>
  </w:style>
  <w:style w:type="paragraph" w:styleId="680" w:customStyle="1">
    <w:name w:val="Заголовок 31"/>
    <w:basedOn w:val="668"/>
    <w:next w:val="668"/>
    <w:qFormat/>
    <w:pPr>
      <w:jc w:val="center"/>
      <w:keepNext/>
      <w:outlineLvl w:val="2"/>
    </w:pPr>
    <w:rPr>
      <w:b/>
      <w:sz w:val="32"/>
    </w:rPr>
  </w:style>
  <w:style w:type="paragraph" w:styleId="681" w:customStyle="1">
    <w:name w:val="Заголовок 71"/>
    <w:basedOn w:val="668"/>
    <w:next w:val="668"/>
    <w:link w:val="871"/>
    <w:semiHidden/>
    <w:unhideWhenUsed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styleId="682" w:customStyle="1">
    <w:name w:val="Caption Char"/>
    <w:basedOn w:val="669"/>
    <w:link w:val="857"/>
    <w:uiPriority w:val="35"/>
    <w:rPr>
      <w:b/>
      <w:bCs/>
      <w:color w:val="4f81bd"/>
      <w:sz w:val="18"/>
      <w:szCs w:val="18"/>
    </w:rPr>
  </w:style>
  <w:style w:type="paragraph" w:styleId="683">
    <w:name w:val="toc 1"/>
    <w:basedOn w:val="668"/>
    <w:next w:val="668"/>
    <w:uiPriority w:val="39"/>
    <w:unhideWhenUsed/>
    <w:pPr>
      <w:spacing w:after="57"/>
    </w:pPr>
  </w:style>
  <w:style w:type="paragraph" w:styleId="684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685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686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687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688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689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690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691">
    <w:name w:val="toc 9"/>
    <w:basedOn w:val="668"/>
    <w:next w:val="668"/>
    <w:uiPriority w:val="39"/>
    <w:unhideWhenUsed/>
    <w:pPr>
      <w:ind w:left="2268"/>
      <w:spacing w:after="57"/>
    </w:pPr>
  </w:style>
  <w:style w:type="table" w:styleId="692">
    <w:name w:val="Table Grid"/>
    <w:basedOn w:val="67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basedOn w:val="670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basedOn w:val="670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2"/>
    <w:basedOn w:val="670"/>
    <w:uiPriority w:val="59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3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basedOn w:val="670"/>
    <w:uiPriority w:val="99"/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basedOn w:val="670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basedOn w:val="670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basedOn w:val="670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basedOn w:val="670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basedOn w:val="670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basedOn w:val="670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basedOn w:val="670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basedOn w:val="670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basedOn w:val="670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basedOn w:val="670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basedOn w:val="670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basedOn w:val="670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basedOn w:val="670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basedOn w:val="670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basedOn w:val="670"/>
    <w:uiPriority w:val="59"/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21" w:customStyle="1">
    <w:name w:val="Grid Table 4 - Accent 1"/>
    <w:basedOn w:val="670"/>
    <w:uiPriority w:val="5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22" w:customStyle="1">
    <w:name w:val="Grid Table 4 - Accent 2"/>
    <w:basedOn w:val="670"/>
    <w:uiPriority w:val="5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23" w:customStyle="1">
    <w:name w:val="Grid Table 4 - Accent 3"/>
    <w:basedOn w:val="670"/>
    <w:link w:val="882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24" w:customStyle="1">
    <w:name w:val="Grid Table 4 - Accent 4"/>
    <w:basedOn w:val="670"/>
    <w:uiPriority w:val="5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25" w:customStyle="1">
    <w:name w:val="Grid Table 4 - Accent 5"/>
    <w:basedOn w:val="670"/>
    <w:uiPriority w:val="5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26" w:customStyle="1">
    <w:name w:val="Grid Table 4 - Accent 6"/>
    <w:basedOn w:val="670"/>
    <w:uiPriority w:val="5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27" w:customStyle="1">
    <w:name w:val="Grid Table 5 Dark"/>
    <w:basedOn w:val="670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28" w:customStyle="1">
    <w:name w:val="Grid Table 5 Dark- Accent 1"/>
    <w:basedOn w:val="670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ec4e0"/>
      </w:tcPr>
    </w:tblStylePr>
    <w:tblStylePr w:type="band1Vert">
      <w:tcPr>
        <w:shd w:val="clear" w:color="aec4e0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29" w:customStyle="1">
    <w:name w:val="Grid Table 5 Dark - Accent 2"/>
    <w:basedOn w:val="670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e2aead"/>
      </w:tcPr>
    </w:tblStylePr>
    <w:tblStylePr w:type="band1Vert">
      <w:tcPr>
        <w:shd w:val="clear" w:color="e2aead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30" w:customStyle="1">
    <w:name w:val="Grid Table 5 Dark - Accent 3"/>
    <w:basedOn w:val="670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d0dfb2"/>
      </w:tcPr>
    </w:tblStylePr>
    <w:tblStylePr w:type="band1Vert">
      <w:tcPr>
        <w:shd w:val="clear" w:color="d0dfb2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31" w:customStyle="1">
    <w:name w:val="Grid Table 5 Dark- Accent 4"/>
    <w:basedOn w:val="670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c4b7d4"/>
      </w:tcPr>
    </w:tblStylePr>
    <w:tblStylePr w:type="band1Vert">
      <w:tcPr>
        <w:shd w:val="clear" w:color="c4b7d4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32" w:customStyle="1">
    <w:name w:val="Grid Table 5 Dark - Accent 5"/>
    <w:basedOn w:val="670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cd8e4"/>
      </w:tcPr>
    </w:tblStylePr>
    <w:tblStylePr w:type="band1Vert">
      <w:tcPr>
        <w:shd w:val="clear" w:color="acd8e4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33" w:customStyle="1">
    <w:name w:val="Grid Table 5 Dark - Accent 6"/>
    <w:basedOn w:val="670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fbceaa"/>
      </w:tcPr>
    </w:tblStylePr>
    <w:tblStylePr w:type="band1Vert">
      <w:tcPr>
        <w:shd w:val="clear" w:color="fbceaa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34" w:customStyle="1">
    <w:name w:val="Grid Table 6 Colorful"/>
    <w:basedOn w:val="670"/>
    <w:uiPriority w:val="99"/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35" w:customStyle="1">
    <w:name w:val="Grid Table 6 Colorful - Accent 1"/>
    <w:basedOn w:val="670"/>
    <w:uiPriority w:val="99"/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b/>
        <w:color w:val="a6bfdd"/>
      </w:rPr>
    </w:tblStyle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</w:tblStylePr>
    <w:tblStylePr w:type="lastRow">
      <w:rPr>
        <w:b/>
        <w:color w:val="a6bfdd"/>
      </w:rPr>
    </w:tblStylePr>
  </w:style>
  <w:style w:type="table" w:styleId="736" w:customStyle="1">
    <w:name w:val="Grid Table 6 Colorful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</w:tblStylePr>
  </w:style>
  <w:style w:type="table" w:styleId="737" w:customStyle="1">
    <w:name w:val="Grid Table 6 Colorful - Accent 3"/>
    <w:basedOn w:val="670"/>
    <w:uiPriority w:val="99"/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b/>
        <w:color w:val="9abb59"/>
      </w:rPr>
    </w:tblStyle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</w:tblStylePr>
    <w:tblStylePr w:type="lastRow">
      <w:rPr>
        <w:b/>
        <w:color w:val="9abb59"/>
      </w:rPr>
    </w:tblStylePr>
  </w:style>
  <w:style w:type="table" w:styleId="738" w:customStyle="1">
    <w:name w:val="Grid Table 6 Colorful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</w:tblStylePr>
  </w:style>
  <w:style w:type="table" w:styleId="739" w:customStyle="1">
    <w:name w:val="Grid Table 6 Colorful - Accent 5"/>
    <w:basedOn w:val="670"/>
    <w:uiPriority w:val="99"/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40" w:customStyle="1">
    <w:name w:val="Grid Table 6 Colorful - Accent 6"/>
    <w:basedOn w:val="670"/>
    <w:uiPriority w:val="99"/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41" w:customStyle="1">
    <w:name w:val="Grid Table 7 Colorful"/>
    <w:basedOn w:val="670"/>
    <w:uiPriority w:val="99"/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1"/>
    <w:basedOn w:val="670"/>
    <w:uiPriority w:val="99"/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rFonts w:ascii="Arial" w:hAnsi="Arial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rFonts w:ascii="Arial" w:hAnsi="Arial"/>
        <w:i/>
        <w:color w:val="9abb5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5"/>
    <w:basedOn w:val="670"/>
    <w:uiPriority w:val="99"/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rFonts w:ascii="Arial" w:hAnsi="Arial"/>
        <w:i/>
        <w:color w:val="26677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6"/>
    <w:basedOn w:val="670"/>
    <w:uiPriority w:val="99"/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  <w:tblStylePr w:type="firstCol">
      <w:rPr>
        <w:rFonts w:ascii="Arial" w:hAnsi="Arial"/>
        <w:i/>
        <w:color w:val="b15407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basedOn w:val="670"/>
    <w:link w:val="877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basedOn w:val="670"/>
    <w:link w:val="878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basedOn w:val="670"/>
    <w:uiPriority w:val="99"/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basedOn w:val="670"/>
    <w:uiPriority w:val="99"/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basedOn w:val="670"/>
    <w:uiPriority w:val="99"/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basedOn w:val="670"/>
    <w:uiPriority w:val="99"/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basedOn w:val="670"/>
    <w:uiPriority w:val="99"/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basedOn w:val="670"/>
    <w:uiPriority w:val="99"/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basedOn w:val="670"/>
    <w:uiPriority w:val="99"/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762" w:customStyle="1">
    <w:name w:val="List Table 3"/>
    <w:basedOn w:val="670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basedOn w:val="670"/>
    <w:link w:val="883"/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basedOn w:val="670"/>
    <w:link w:val="884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basedOn w:val="670"/>
    <w:link w:val="885"/>
    <w:uiPriority w:val="1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basedOn w:val="670"/>
    <w:uiPriority w:val="9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basedOn w:val="670"/>
    <w:uiPriority w:val="9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basedOn w:val="670"/>
    <w:uiPriority w:val="99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basedOn w:val="670"/>
    <w:uiPriority w:val="9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basedOn w:val="670"/>
    <w:uiPriority w:val="9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basedOn w:val="670"/>
    <w:uiPriority w:val="9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basedOn w:val="670"/>
    <w:uiPriority w:val="99"/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7" w:customStyle="1">
    <w:name w:val="List Table 5 Dark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8" w:customStyle="1">
    <w:name w:val="List Table 5 Dark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9" w:customStyle="1">
    <w:name w:val="List Table 5 Dark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0" w:customStyle="1">
    <w:name w:val="List Table 5 Dark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1" w:customStyle="1">
    <w:name w:val="List Table 5 Dark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2" w:customStyle="1">
    <w:name w:val="List Table 5 Dark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3" w:customStyle="1">
    <w:name w:val="List Table 6 Colorful"/>
    <w:basedOn w:val="670"/>
    <w:uiPriority w:val="99"/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784" w:customStyle="1">
    <w:name w:val="List Table 6 Colorful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b/>
        <w:color w:val="2a4a71"/>
      </w:rPr>
    </w:tblStyle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</w:style>
  <w:style w:type="table" w:styleId="785" w:customStyle="1">
    <w:name w:val="List Table 6 Colorful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</w:style>
  <w:style w:type="table" w:styleId="786" w:customStyle="1">
    <w:name w:val="List Table 6 Colorful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b/>
        <w:color w:val="c3d69b"/>
      </w:rPr>
    </w:tblStyle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</w:style>
  <w:style w:type="table" w:styleId="787" w:customStyle="1">
    <w:name w:val="List Table 6 Colorful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</w:style>
  <w:style w:type="table" w:styleId="788" w:customStyle="1">
    <w:name w:val="List Table 6 Colorful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b/>
        <w:color w:val="92ccdc"/>
      </w:rPr>
    </w:tblStyle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</w:style>
  <w:style w:type="table" w:styleId="789" w:customStyle="1">
    <w:name w:val="List Table 6 Colorful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b/>
        <w:color w:val="fac090"/>
      </w:rPr>
    </w:tblStyle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</w:style>
  <w:style w:type="table" w:styleId="790" w:customStyle="1">
    <w:name w:val="List Table 7 Colorful"/>
    <w:basedOn w:val="670"/>
    <w:uiPriority w:val="99"/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1"/>
    <w:basedOn w:val="670"/>
    <w:uiPriority w:val="99"/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rFonts w:ascii="Arial" w:hAnsi="Arial"/>
        <w:i/>
        <w:color w:val="2a4a71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2"/>
    <w:basedOn w:val="670"/>
    <w:uiPriority w:val="99"/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3"/>
    <w:basedOn w:val="670"/>
    <w:uiPriority w:val="99"/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rFonts w:ascii="Arial" w:hAnsi="Arial"/>
        <w:i/>
        <w:color w:val="c3d69b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4"/>
    <w:basedOn w:val="670"/>
    <w:uiPriority w:val="99"/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5"/>
    <w:basedOn w:val="670"/>
    <w:uiPriority w:val="99"/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rFonts w:ascii="Arial" w:hAnsi="Arial"/>
        <w:i/>
        <w:color w:val="92ccdc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6"/>
    <w:basedOn w:val="670"/>
    <w:uiPriority w:val="99"/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rFonts w:ascii="Arial" w:hAnsi="Arial"/>
        <w:i/>
        <w:color w:val="fac09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ned - Accent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798" w:customStyle="1">
    <w:name w:val="Lined - Accent 1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799" w:customStyle="1">
    <w:name w:val="Lined - Accent 2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00" w:customStyle="1">
    <w:name w:val="Lined - Accent 3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01" w:customStyle="1">
    <w:name w:val="Lined - Accent 4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02" w:customStyle="1">
    <w:name w:val="Lined - Accent 5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03" w:customStyle="1">
    <w:name w:val="Lined - Accent 6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04" w:customStyle="1">
    <w:name w:val="Bordered &amp; Lined - Accent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05" w:customStyle="1">
    <w:name w:val="Bordered &amp; Lined - Accent 1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06" w:customStyle="1">
    <w:name w:val="Bordered &amp; Lined - Accent 2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07" w:customStyle="1">
    <w:name w:val="Bordered &amp; Lined - Accent 3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08" w:customStyle="1">
    <w:name w:val="Bordered &amp; Lined - Accent 4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09" w:customStyle="1">
    <w:name w:val="Bordered &amp; Lined - Accent 5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10" w:customStyle="1">
    <w:name w:val="Bordered &amp; Lined - Accent 6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11" w:customStyle="1">
    <w:name w:val="Bordered"/>
    <w:basedOn w:val="670"/>
    <w:uiPriority w:val="99"/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12" w:customStyle="1">
    <w:name w:val="Bordered - Accent 1"/>
    <w:basedOn w:val="670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13" w:customStyle="1">
    <w:name w:val="Bordered - Accent 2"/>
    <w:basedOn w:val="670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14" w:customStyle="1">
    <w:name w:val="Bordered - Accent 3"/>
    <w:basedOn w:val="670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15" w:customStyle="1">
    <w:name w:val="Bordered - Accent 4"/>
    <w:basedOn w:val="670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16" w:customStyle="1">
    <w:name w:val="Bordered - Accent 5"/>
    <w:basedOn w:val="670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17" w:customStyle="1">
    <w:name w:val="Bordered - Accent 6"/>
    <w:basedOn w:val="670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paragraph" w:styleId="818" w:customStyle="1">
    <w:name w:val="Заголовок 12"/>
    <w:basedOn w:val="668"/>
    <w:next w:val="668"/>
    <w:link w:val="827"/>
    <w:uiPriority w:val="9"/>
    <w:qFormat/>
    <w:pPr>
      <w:keepLines/>
      <w:keepNext/>
      <w:spacing w:before="360" w:after="80"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819" w:customStyle="1">
    <w:name w:val="Заголовок 22"/>
    <w:basedOn w:val="668"/>
    <w:next w:val="668"/>
    <w:link w:val="828"/>
    <w:uiPriority w:val="9"/>
    <w:unhideWhenUsed/>
    <w:qFormat/>
    <w:pPr>
      <w:keepLines/>
      <w:keepNext/>
      <w:spacing w:before="160" w:after="80"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820" w:customStyle="1">
    <w:name w:val="Заголовок 32"/>
    <w:basedOn w:val="668"/>
    <w:next w:val="668"/>
    <w:link w:val="829"/>
    <w:uiPriority w:val="9"/>
    <w:unhideWhenUsed/>
    <w:qFormat/>
    <w:pPr>
      <w:keepLines/>
      <w:keepNext/>
      <w:spacing w:before="160" w:after="80"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821" w:customStyle="1">
    <w:name w:val="Заголовок 41"/>
    <w:basedOn w:val="668"/>
    <w:next w:val="668"/>
    <w:link w:val="830"/>
    <w:uiPriority w:val="9"/>
    <w:unhideWhenUsed/>
    <w:qFormat/>
    <w:pPr>
      <w:keepLines/>
      <w:keepNext/>
      <w:spacing w:before="80" w:after="40"/>
      <w:outlineLvl w:val="3"/>
    </w:pPr>
    <w:rPr>
      <w:rFonts w:ascii="Arial" w:hAnsi="Arial" w:eastAsia="Arial" w:cs="Arial"/>
      <w:i/>
      <w:iCs/>
      <w:color w:val="365f91"/>
    </w:rPr>
  </w:style>
  <w:style w:type="paragraph" w:styleId="822" w:customStyle="1">
    <w:name w:val="Заголовок 51"/>
    <w:basedOn w:val="668"/>
    <w:next w:val="668"/>
    <w:link w:val="831"/>
    <w:uiPriority w:val="9"/>
    <w:unhideWhenUsed/>
    <w:qFormat/>
    <w:pPr>
      <w:keepLines/>
      <w:keepNext/>
      <w:spacing w:before="80" w:after="40"/>
      <w:outlineLvl w:val="4"/>
    </w:pPr>
    <w:rPr>
      <w:rFonts w:ascii="Arial" w:hAnsi="Arial" w:eastAsia="Arial" w:cs="Arial"/>
      <w:color w:val="365f91"/>
    </w:rPr>
  </w:style>
  <w:style w:type="paragraph" w:styleId="823" w:customStyle="1">
    <w:name w:val="Заголовок 61"/>
    <w:basedOn w:val="668"/>
    <w:next w:val="668"/>
    <w:link w:val="832"/>
    <w:uiPriority w:val="9"/>
    <w:unhideWhenUsed/>
    <w:qFormat/>
    <w:pPr>
      <w:keepLines/>
      <w:keepNext/>
      <w:spacing w:before="40"/>
      <w:outlineLvl w:val="5"/>
    </w:pPr>
    <w:rPr>
      <w:rFonts w:ascii="Arial" w:hAnsi="Arial" w:eastAsia="Arial" w:cs="Arial"/>
      <w:i/>
      <w:iCs/>
      <w:color w:val="595959"/>
    </w:rPr>
  </w:style>
  <w:style w:type="paragraph" w:styleId="824" w:customStyle="1">
    <w:name w:val="Заголовок 72"/>
    <w:basedOn w:val="668"/>
    <w:next w:val="668"/>
    <w:link w:val="833"/>
    <w:uiPriority w:val="9"/>
    <w:unhideWhenUsed/>
    <w:qFormat/>
    <w:pPr>
      <w:keepLines/>
      <w:keepNext/>
      <w:spacing w:before="40"/>
      <w:outlineLvl w:val="6"/>
    </w:pPr>
    <w:rPr>
      <w:rFonts w:ascii="Arial" w:hAnsi="Arial" w:eastAsia="Arial" w:cs="Arial"/>
      <w:color w:val="595959"/>
    </w:rPr>
  </w:style>
  <w:style w:type="paragraph" w:styleId="825" w:customStyle="1">
    <w:name w:val="Заголовок 81"/>
    <w:basedOn w:val="668"/>
    <w:next w:val="668"/>
    <w:link w:val="834"/>
    <w:uiPriority w:val="9"/>
    <w:unhideWhenUsed/>
    <w:qFormat/>
    <w:pPr>
      <w:keepLines/>
      <w:keepNext/>
      <w:outlineLvl w:val="7"/>
    </w:pPr>
    <w:rPr>
      <w:rFonts w:ascii="Arial" w:hAnsi="Arial" w:eastAsia="Arial" w:cs="Arial"/>
      <w:i/>
      <w:iCs/>
      <w:color w:val="272727"/>
    </w:rPr>
  </w:style>
  <w:style w:type="paragraph" w:styleId="826" w:customStyle="1">
    <w:name w:val="Заголовок 91"/>
    <w:basedOn w:val="668"/>
    <w:next w:val="668"/>
    <w:link w:val="835"/>
    <w:uiPriority w:val="9"/>
    <w:unhideWhenUsed/>
    <w:qFormat/>
    <w:pPr>
      <w:keepLines/>
      <w:keepNext/>
      <w:outlineLvl w:val="8"/>
    </w:pPr>
    <w:rPr>
      <w:rFonts w:ascii="Arial" w:hAnsi="Arial" w:eastAsia="Arial" w:cs="Arial"/>
      <w:i/>
      <w:iCs/>
      <w:color w:val="272727"/>
    </w:rPr>
  </w:style>
  <w:style w:type="character" w:styleId="827" w:customStyle="1">
    <w:name w:val="Heading 1 Char"/>
    <w:basedOn w:val="669"/>
    <w:link w:val="818"/>
    <w:uiPriority w:val="9"/>
    <w:rPr>
      <w:rFonts w:ascii="Arial" w:hAnsi="Arial" w:eastAsia="Arial" w:cs="Arial"/>
      <w:color w:val="365f91"/>
      <w:sz w:val="40"/>
      <w:szCs w:val="40"/>
    </w:rPr>
  </w:style>
  <w:style w:type="character" w:styleId="828" w:customStyle="1">
    <w:name w:val="Heading 2 Char"/>
    <w:basedOn w:val="669"/>
    <w:link w:val="819"/>
    <w:uiPriority w:val="9"/>
    <w:rPr>
      <w:rFonts w:ascii="Arial" w:hAnsi="Arial" w:eastAsia="Arial" w:cs="Arial"/>
      <w:color w:val="365f91"/>
      <w:sz w:val="32"/>
      <w:szCs w:val="32"/>
    </w:rPr>
  </w:style>
  <w:style w:type="character" w:styleId="829" w:customStyle="1">
    <w:name w:val="Heading 3 Char"/>
    <w:basedOn w:val="669"/>
    <w:link w:val="820"/>
    <w:uiPriority w:val="9"/>
    <w:rPr>
      <w:rFonts w:ascii="Arial" w:hAnsi="Arial" w:eastAsia="Arial" w:cs="Arial"/>
      <w:color w:val="365f91"/>
      <w:sz w:val="28"/>
      <w:szCs w:val="28"/>
    </w:rPr>
  </w:style>
  <w:style w:type="character" w:styleId="830" w:customStyle="1">
    <w:name w:val="Heading 4 Char"/>
    <w:basedOn w:val="669"/>
    <w:link w:val="821"/>
    <w:uiPriority w:val="9"/>
    <w:rPr>
      <w:rFonts w:ascii="Arial" w:hAnsi="Arial" w:eastAsia="Arial" w:cs="Arial"/>
      <w:i/>
      <w:iCs/>
      <w:color w:val="365f91"/>
    </w:rPr>
  </w:style>
  <w:style w:type="character" w:styleId="831" w:customStyle="1">
    <w:name w:val="Heading 5 Char"/>
    <w:basedOn w:val="669"/>
    <w:link w:val="822"/>
    <w:uiPriority w:val="9"/>
    <w:rPr>
      <w:rFonts w:ascii="Arial" w:hAnsi="Arial" w:eastAsia="Arial" w:cs="Arial"/>
      <w:color w:val="365f91"/>
    </w:rPr>
  </w:style>
  <w:style w:type="character" w:styleId="832" w:customStyle="1">
    <w:name w:val="Heading 6 Char"/>
    <w:basedOn w:val="669"/>
    <w:link w:val="823"/>
    <w:uiPriority w:val="9"/>
    <w:rPr>
      <w:rFonts w:ascii="Arial" w:hAnsi="Arial" w:eastAsia="Arial" w:cs="Arial"/>
      <w:i/>
      <w:iCs/>
      <w:color w:val="595959"/>
    </w:rPr>
  </w:style>
  <w:style w:type="character" w:styleId="833" w:customStyle="1">
    <w:name w:val="Heading 7 Char"/>
    <w:basedOn w:val="669"/>
    <w:link w:val="824"/>
    <w:uiPriority w:val="9"/>
    <w:rPr>
      <w:rFonts w:ascii="Arial" w:hAnsi="Arial" w:eastAsia="Arial" w:cs="Arial"/>
      <w:color w:val="595959"/>
    </w:rPr>
  </w:style>
  <w:style w:type="character" w:styleId="834" w:customStyle="1">
    <w:name w:val="Heading 8 Char"/>
    <w:basedOn w:val="669"/>
    <w:link w:val="825"/>
    <w:uiPriority w:val="9"/>
    <w:rPr>
      <w:rFonts w:ascii="Arial" w:hAnsi="Arial" w:eastAsia="Arial" w:cs="Arial"/>
      <w:i/>
      <w:iCs/>
      <w:color w:val="272727"/>
    </w:rPr>
  </w:style>
  <w:style w:type="character" w:styleId="835" w:customStyle="1">
    <w:name w:val="Heading 9 Char"/>
    <w:basedOn w:val="669"/>
    <w:link w:val="826"/>
    <w:uiPriority w:val="9"/>
    <w:rPr>
      <w:rFonts w:ascii="Arial" w:hAnsi="Arial" w:eastAsia="Arial" w:cs="Arial"/>
      <w:i/>
      <w:iCs/>
      <w:color w:val="272727"/>
    </w:rPr>
  </w:style>
  <w:style w:type="paragraph" w:styleId="836">
    <w:name w:val="Title"/>
    <w:basedOn w:val="668"/>
    <w:next w:val="668"/>
    <w:link w:val="837"/>
    <w:uiPriority w:val="10"/>
    <w:qFormat/>
    <w:pPr>
      <w:contextualSpacing/>
      <w:spacing w:after="80"/>
    </w:pPr>
    <w:rPr>
      <w:rFonts w:ascii="Arial" w:hAnsi="Arial" w:eastAsia="Arial" w:cs="Arial"/>
      <w:spacing w:val="-10"/>
      <w:sz w:val="56"/>
      <w:szCs w:val="56"/>
    </w:rPr>
  </w:style>
  <w:style w:type="character" w:styleId="837" w:customStyle="1">
    <w:name w:val="Название Знак"/>
    <w:basedOn w:val="669"/>
    <w:link w:val="836"/>
    <w:uiPriority w:val="10"/>
    <w:rPr>
      <w:rFonts w:ascii="Arial" w:hAnsi="Arial" w:eastAsia="Arial" w:cs="Arial"/>
      <w:spacing w:val="-10"/>
      <w:sz w:val="56"/>
      <w:szCs w:val="56"/>
    </w:rPr>
  </w:style>
  <w:style w:type="paragraph" w:styleId="838">
    <w:name w:val="Subtitle"/>
    <w:basedOn w:val="668"/>
    <w:next w:val="668"/>
    <w:link w:val="839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styleId="839" w:customStyle="1">
    <w:name w:val="Подзаголовок Знак"/>
    <w:basedOn w:val="669"/>
    <w:link w:val="838"/>
    <w:uiPriority w:val="11"/>
    <w:rPr>
      <w:color w:val="595959"/>
      <w:spacing w:val="15"/>
      <w:sz w:val="28"/>
      <w:szCs w:val="28"/>
    </w:rPr>
  </w:style>
  <w:style w:type="paragraph" w:styleId="840">
    <w:name w:val="Quote"/>
    <w:basedOn w:val="668"/>
    <w:next w:val="668"/>
    <w:link w:val="841"/>
    <w:uiPriority w:val="29"/>
    <w:qFormat/>
    <w:pPr>
      <w:jc w:val="center"/>
      <w:spacing w:before="160"/>
    </w:pPr>
    <w:rPr>
      <w:i/>
      <w:iCs/>
      <w:color w:val="404040"/>
    </w:rPr>
  </w:style>
  <w:style w:type="character" w:styleId="841" w:customStyle="1">
    <w:name w:val="Цитата 2 Знак"/>
    <w:basedOn w:val="669"/>
    <w:link w:val="840"/>
    <w:uiPriority w:val="29"/>
    <w:rPr>
      <w:i/>
      <w:iCs/>
      <w:color w:val="404040"/>
    </w:rPr>
  </w:style>
  <w:style w:type="paragraph" w:styleId="842">
    <w:name w:val="List Paragraph"/>
    <w:basedOn w:val="668"/>
    <w:uiPriority w:val="34"/>
    <w:qFormat/>
    <w:pPr>
      <w:contextualSpacing/>
      <w:ind w:left="720"/>
    </w:pPr>
  </w:style>
  <w:style w:type="character" w:styleId="843">
    <w:name w:val="Intense Emphasis"/>
    <w:basedOn w:val="669"/>
    <w:uiPriority w:val="21"/>
    <w:qFormat/>
    <w:rPr>
      <w:i/>
      <w:iCs/>
      <w:color w:val="365f91"/>
    </w:rPr>
  </w:style>
  <w:style w:type="paragraph" w:styleId="844">
    <w:name w:val="Intense Quote"/>
    <w:basedOn w:val="668"/>
    <w:next w:val="668"/>
    <w:link w:val="845"/>
    <w:uiPriority w:val="30"/>
    <w:qFormat/>
    <w:pPr>
      <w:ind w:left="864" w:right="864"/>
      <w:jc w:val="center"/>
      <w:spacing w:before="360" w:after="360"/>
      <w:pBdr>
        <w:top w:val="single" w:color="365F91" w:sz="4" w:space="10"/>
        <w:bottom w:val="single" w:color="365F91" w:sz="4" w:space="10"/>
      </w:pBdr>
    </w:pPr>
    <w:rPr>
      <w:i/>
      <w:iCs/>
      <w:color w:val="365f91"/>
    </w:rPr>
  </w:style>
  <w:style w:type="character" w:styleId="845" w:customStyle="1">
    <w:name w:val="Выделенная цитата Знак"/>
    <w:basedOn w:val="669"/>
    <w:link w:val="844"/>
    <w:uiPriority w:val="30"/>
    <w:rPr>
      <w:i/>
      <w:iCs/>
      <w:color w:val="365f91"/>
    </w:rPr>
  </w:style>
  <w:style w:type="character" w:styleId="846">
    <w:name w:val="Intense Reference"/>
    <w:basedOn w:val="669"/>
    <w:uiPriority w:val="32"/>
    <w:qFormat/>
    <w:rPr>
      <w:b/>
      <w:bCs/>
      <w:smallCaps/>
      <w:color w:val="365f91"/>
      <w:spacing w:val="5"/>
    </w:rPr>
  </w:style>
  <w:style w:type="paragraph" w:styleId="847">
    <w:name w:val="No Spacing"/>
    <w:basedOn w:val="668"/>
    <w:uiPriority w:val="1"/>
    <w:qFormat/>
  </w:style>
  <w:style w:type="character" w:styleId="848">
    <w:name w:val="Subtle Emphasis"/>
    <w:basedOn w:val="669"/>
    <w:uiPriority w:val="19"/>
    <w:qFormat/>
    <w:rPr>
      <w:i/>
      <w:iCs/>
      <w:color w:val="404040"/>
    </w:rPr>
  </w:style>
  <w:style w:type="character" w:styleId="849">
    <w:name w:val="Emphasis"/>
    <w:basedOn w:val="669"/>
    <w:uiPriority w:val="20"/>
    <w:qFormat/>
    <w:rPr>
      <w:i/>
      <w:iCs/>
    </w:rPr>
  </w:style>
  <w:style w:type="character" w:styleId="850">
    <w:name w:val="Strong"/>
    <w:basedOn w:val="669"/>
    <w:uiPriority w:val="22"/>
    <w:qFormat/>
    <w:rPr>
      <w:b/>
      <w:bCs/>
    </w:rPr>
  </w:style>
  <w:style w:type="character" w:styleId="851">
    <w:name w:val="Subtle Reference"/>
    <w:basedOn w:val="669"/>
    <w:uiPriority w:val="31"/>
    <w:qFormat/>
    <w:rPr>
      <w:smallCaps/>
      <w:color w:val="5a5a5a"/>
    </w:rPr>
  </w:style>
  <w:style w:type="character" w:styleId="852">
    <w:name w:val="Book Title"/>
    <w:basedOn w:val="669"/>
    <w:uiPriority w:val="33"/>
    <w:qFormat/>
    <w:rPr>
      <w:b/>
      <w:bCs/>
      <w:i/>
      <w:iCs/>
      <w:spacing w:val="5"/>
    </w:rPr>
  </w:style>
  <w:style w:type="paragraph" w:styleId="853" w:customStyle="1">
    <w:name w:val="Верхний колонтитул1"/>
    <w:basedOn w:val="668"/>
    <w:link w:val="854"/>
    <w:uiPriority w:val="99"/>
    <w:unhideWhenUsed/>
    <w:pPr>
      <w:tabs>
        <w:tab w:val="center" w:pos="4844" w:leader="none"/>
        <w:tab w:val="right" w:pos="9689" w:leader="none"/>
      </w:tabs>
    </w:pPr>
  </w:style>
  <w:style w:type="character" w:styleId="854" w:customStyle="1">
    <w:name w:val="Header Char"/>
    <w:basedOn w:val="669"/>
    <w:link w:val="853"/>
    <w:uiPriority w:val="99"/>
  </w:style>
  <w:style w:type="paragraph" w:styleId="855" w:customStyle="1">
    <w:name w:val="Нижний колонтитул1"/>
    <w:basedOn w:val="668"/>
    <w:link w:val="856"/>
    <w:uiPriority w:val="99"/>
    <w:unhideWhenUsed/>
    <w:pPr>
      <w:tabs>
        <w:tab w:val="center" w:pos="4844" w:leader="none"/>
        <w:tab w:val="right" w:pos="9689" w:leader="none"/>
      </w:tabs>
    </w:pPr>
  </w:style>
  <w:style w:type="character" w:styleId="856" w:customStyle="1">
    <w:name w:val="Footer Char"/>
    <w:basedOn w:val="669"/>
    <w:link w:val="855"/>
    <w:uiPriority w:val="99"/>
  </w:style>
  <w:style w:type="paragraph" w:styleId="857" w:customStyle="1">
    <w:name w:val="Название объекта1"/>
    <w:basedOn w:val="668"/>
    <w:next w:val="668"/>
    <w:link w:val="682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858">
    <w:name w:val="footnote text"/>
    <w:basedOn w:val="668"/>
    <w:link w:val="859"/>
    <w:uiPriority w:val="99"/>
    <w:semiHidden/>
    <w:unhideWhenUsed/>
  </w:style>
  <w:style w:type="character" w:styleId="859" w:customStyle="1">
    <w:name w:val="Текст сноски Знак"/>
    <w:basedOn w:val="669"/>
    <w:link w:val="858"/>
    <w:uiPriority w:val="99"/>
    <w:semiHidden/>
    <w:rPr>
      <w:sz w:val="20"/>
      <w:szCs w:val="20"/>
    </w:rPr>
  </w:style>
  <w:style w:type="character" w:styleId="860">
    <w:name w:val="footnote reference"/>
    <w:basedOn w:val="669"/>
    <w:uiPriority w:val="99"/>
    <w:semiHidden/>
    <w:unhideWhenUsed/>
    <w:rPr>
      <w:vertAlign w:val="superscript"/>
    </w:rPr>
  </w:style>
  <w:style w:type="paragraph" w:styleId="861">
    <w:name w:val="endnote text"/>
    <w:basedOn w:val="668"/>
    <w:link w:val="862"/>
    <w:uiPriority w:val="99"/>
    <w:semiHidden/>
    <w:unhideWhenUsed/>
  </w:style>
  <w:style w:type="character" w:styleId="862" w:customStyle="1">
    <w:name w:val="Текст концевой сноски Знак"/>
    <w:basedOn w:val="669"/>
    <w:link w:val="861"/>
    <w:uiPriority w:val="99"/>
    <w:semiHidden/>
    <w:rPr>
      <w:sz w:val="20"/>
      <w:szCs w:val="20"/>
    </w:rPr>
  </w:style>
  <w:style w:type="character" w:styleId="863">
    <w:name w:val="endnote reference"/>
    <w:basedOn w:val="669"/>
    <w:uiPriority w:val="99"/>
    <w:semiHidden/>
    <w:unhideWhenUsed/>
    <w:rPr>
      <w:vertAlign w:val="superscript"/>
    </w:rPr>
  </w:style>
  <w:style w:type="character" w:styleId="864">
    <w:name w:val="Hyperlink"/>
    <w:basedOn w:val="669"/>
    <w:uiPriority w:val="99"/>
    <w:unhideWhenUsed/>
    <w:rPr>
      <w:color w:val="0000ff"/>
      <w:u w:val="single"/>
    </w:rPr>
  </w:style>
  <w:style w:type="character" w:styleId="865">
    <w:name w:val="FollowedHyperlink"/>
    <w:basedOn w:val="669"/>
    <w:uiPriority w:val="99"/>
    <w:semiHidden/>
    <w:unhideWhenUsed/>
    <w:rPr>
      <w:color w:val="800080"/>
      <w:u w:val="single"/>
    </w:rPr>
  </w:style>
  <w:style w:type="paragraph" w:styleId="866">
    <w:name w:val="TOC Heading"/>
    <w:uiPriority w:val="39"/>
    <w:unhideWhenUsed/>
    <w:rPr>
      <w:lang w:eastAsia="zh-CN"/>
    </w:rPr>
  </w:style>
  <w:style w:type="paragraph" w:styleId="867">
    <w:name w:val="table of figures"/>
    <w:basedOn w:val="668"/>
    <w:next w:val="668"/>
    <w:uiPriority w:val="99"/>
    <w:unhideWhenUsed/>
  </w:style>
  <w:style w:type="paragraph" w:styleId="868">
    <w:name w:val="Body Text"/>
    <w:basedOn w:val="668"/>
    <w:link w:val="872"/>
    <w:pPr>
      <w:jc w:val="both"/>
    </w:pPr>
    <w:rPr>
      <w:sz w:val="28"/>
      <w:szCs w:val="24"/>
    </w:rPr>
  </w:style>
  <w:style w:type="paragraph" w:styleId="869" w:customStyle="1">
    <w:name w:val="заголовок 6"/>
    <w:basedOn w:val="668"/>
    <w:next w:val="668"/>
    <w:pPr>
      <w:keepNext/>
    </w:pPr>
    <w:rPr>
      <w:sz w:val="28"/>
      <w:szCs w:val="28"/>
    </w:rPr>
  </w:style>
  <w:style w:type="paragraph" w:styleId="870" w:customStyle="1">
    <w:name w:val="ConsPlusNormal"/>
    <w:link w:val="890"/>
    <w:uiPriority w:val="99"/>
    <w:rPr>
      <w:sz w:val="24"/>
      <w:szCs w:val="24"/>
    </w:rPr>
  </w:style>
  <w:style w:type="character" w:styleId="871" w:customStyle="1">
    <w:name w:val="Заголовок 7 Знак"/>
    <w:link w:val="681"/>
    <w:semiHidden/>
    <w:rPr>
      <w:rFonts w:ascii="Calibri" w:hAnsi="Calibri" w:eastAsia="Times New Roman" w:cs="Times New Roman"/>
      <w:sz w:val="24"/>
      <w:szCs w:val="24"/>
    </w:rPr>
  </w:style>
  <w:style w:type="character" w:styleId="872" w:customStyle="1">
    <w:name w:val="Основной текст Знак"/>
    <w:link w:val="868"/>
    <w:rPr>
      <w:sz w:val="28"/>
      <w:szCs w:val="24"/>
    </w:rPr>
  </w:style>
  <w:style w:type="paragraph" w:styleId="873" w:customStyle="1">
    <w:name w:val="Верхний колонтитул2"/>
    <w:basedOn w:val="668"/>
    <w:link w:val="874"/>
    <w:pPr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669"/>
    <w:link w:val="873"/>
  </w:style>
  <w:style w:type="paragraph" w:styleId="875" w:customStyle="1">
    <w:name w:val="Нижний колонтитул2"/>
    <w:basedOn w:val="668"/>
    <w:link w:val="876"/>
    <w:pPr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669"/>
    <w:link w:val="875"/>
  </w:style>
  <w:style w:type="paragraph" w:styleId="877" w:customStyle="1">
    <w:name w:val="Основной текст (2)"/>
    <w:link w:val="752"/>
    <w:pPr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/>
      <w:color w:val="231f20"/>
      <w:lang w:val="en-US" w:eastAsia="en-US"/>
    </w:rPr>
  </w:style>
  <w:style w:type="paragraph" w:styleId="878" w:customStyle="1">
    <w:name w:val="Основной текст (3)"/>
    <w:link w:val="754"/>
    <w:pPr>
      <w:spacing w:after="40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/>
      <w:b/>
      <w:bCs/>
      <w:color w:val="27408e"/>
      <w:sz w:val="38"/>
      <w:szCs w:val="38"/>
      <w:lang w:val="en-US" w:eastAsia="en-US"/>
    </w:rPr>
  </w:style>
  <w:style w:type="character" w:styleId="879" w:customStyle="1">
    <w:name w:val="extended-text__full"/>
  </w:style>
  <w:style w:type="paragraph" w:styleId="880" w:customStyle="1">
    <w:name w:val="formattext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881" w:customStyle="1">
    <w:name w:val="Обычный (веб);Обычный (веб) Знак;Обычный (веб) Знак1 Знак;Обычный (веб) Знак Знак Знак;Обычный (веб) Знак1 Знак Знак;Обычный (веб) Знак Знак Знак Знак;Обычный (веб) Знак1;Обычный (веб) Знак Знак"/>
    <w:uiPriority w:val="99"/>
    <w:qFormat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882" w:customStyle="1">
    <w:name w:val="Основной текст1"/>
    <w:link w:val="723"/>
    <w:pPr>
      <w:ind w:firstLine="400"/>
      <w:spacing w:after="60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color w:val="231f20"/>
      <w:sz w:val="32"/>
      <w:szCs w:val="32"/>
      <w:lang w:bidi="ru-RU"/>
    </w:rPr>
  </w:style>
  <w:style w:type="paragraph" w:styleId="883" w:customStyle="1">
    <w:name w:val="Без интервала;основа"/>
    <w:link w:val="763"/>
    <w:qFormat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/>
      <w:sz w:val="22"/>
      <w:szCs w:val="22"/>
      <w:lang w:eastAsia="en-US"/>
    </w:rPr>
  </w:style>
  <w:style w:type="paragraph" w:styleId="884" w:customStyle="1">
    <w:name w:val="Другое"/>
    <w:link w:val="764"/>
    <w:pPr>
      <w:ind w:firstLine="400"/>
      <w:spacing w:after="60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/>
      <w:color w:val="231f20"/>
      <w:sz w:val="32"/>
      <w:szCs w:val="32"/>
      <w:lang w:val="en-US" w:eastAsia="en-US"/>
    </w:rPr>
  </w:style>
  <w:style w:type="paragraph" w:styleId="885" w:customStyle="1">
    <w:name w:val="Без интервала1"/>
    <w:link w:val="769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/>
      <w:sz w:val="22"/>
      <w:szCs w:val="22"/>
      <w:lang w:eastAsia="en-US"/>
    </w:rPr>
  </w:style>
  <w:style w:type="paragraph" w:styleId="886">
    <w:name w:val="Body Text Indent"/>
    <w:basedOn w:val="668"/>
    <w:link w:val="887"/>
    <w:uiPriority w:val="99"/>
    <w:semiHidden/>
    <w:unhideWhenUsed/>
    <w:pPr>
      <w:ind w:left="283"/>
      <w:spacing w:after="120"/>
    </w:pPr>
  </w:style>
  <w:style w:type="character" w:styleId="887" w:customStyle="1">
    <w:name w:val="Основной текст с отступом Знак"/>
    <w:basedOn w:val="669"/>
    <w:link w:val="886"/>
    <w:uiPriority w:val="99"/>
    <w:semiHidden/>
  </w:style>
  <w:style w:type="paragraph" w:styleId="888" w:customStyle="1">
    <w:name w:val="Style4"/>
    <w:basedOn w:val="668"/>
    <w:uiPriority w:val="99"/>
    <w:pPr>
      <w:ind w:firstLine="509"/>
      <w:jc w:val="both"/>
      <w:spacing w:line="318" w:lineRule="exact"/>
      <w:widowControl w:val="off"/>
    </w:pPr>
    <w:rPr>
      <w:sz w:val="24"/>
      <w:szCs w:val="24"/>
    </w:rPr>
  </w:style>
  <w:style w:type="character" w:styleId="889" w:customStyle="1">
    <w:name w:val="Font Style18"/>
    <w:uiPriority w:val="99"/>
    <w:rPr>
      <w:rFonts w:ascii="Times New Roman" w:hAnsi="Times New Roman"/>
      <w:sz w:val="26"/>
    </w:rPr>
  </w:style>
  <w:style w:type="character" w:styleId="890" w:customStyle="1">
    <w:name w:val="ConsPlusNormal Знак"/>
    <w:link w:val="870"/>
    <w:uiPriority w:val="99"/>
    <w:rPr>
      <w:sz w:val="24"/>
      <w:szCs w:val="24"/>
      <w:lang w:bidi="ar-SA"/>
    </w:rPr>
  </w:style>
  <w:style w:type="paragraph" w:styleId="891">
    <w:name w:val="Balloon Text"/>
    <w:basedOn w:val="668"/>
    <w:link w:val="892"/>
    <w:uiPriority w:val="99"/>
    <w:semiHidden/>
    <w:unhideWhenUsed/>
    <w:rPr>
      <w:rFonts w:ascii="Tahoma" w:hAnsi="Tahoma" w:cs="Tahoma"/>
      <w:sz w:val="16"/>
      <w:szCs w:val="16"/>
    </w:rPr>
  </w:style>
  <w:style w:type="character" w:styleId="892" w:customStyle="1">
    <w:name w:val="Текст выноски Знак"/>
    <w:basedOn w:val="669"/>
    <w:link w:val="89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EUROCOM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ООСидорова</dc:creator>
  <cp:lastModifiedBy>ysvetlova</cp:lastModifiedBy>
  <cp:revision>10</cp:revision>
  <dcterms:created xsi:type="dcterms:W3CDTF">2025-09-26T07:56:00Z</dcterms:created>
  <dcterms:modified xsi:type="dcterms:W3CDTF">2025-11-17T07:07:37Z</dcterms:modified>
  <cp:version>786432</cp:version>
</cp:coreProperties>
</file>