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9"/>
        <w:jc w:val="center"/>
        <w:tabs>
          <w:tab w:val="clear" w:pos="4153" w:leader="none"/>
          <w:tab w:val="clear" w:pos="8306" w:leader="none"/>
        </w:tabs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38" cy="609533"/>
                <wp:effectExtent l="0" t="0" r="0" b="0"/>
                <wp:docPr id="2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.0pt;height:48.0pt;mso-wrap-distance-left:0.0pt;mso-wrap-distance-top:0.0pt;mso-wrap-distance-right:0.0pt;mso-wrap-distance-bottom:0.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</w:rPr>
      </w:r>
      <w:r/>
    </w:p>
    <w:p>
      <w:pPr>
        <w:pStyle w:val="869"/>
        <w:jc w:val="center"/>
        <w:tabs>
          <w:tab w:val="clear" w:pos="4153" w:leader="none"/>
          <w:tab w:val="clear" w:pos="8306" w:leader="none"/>
        </w:tabs>
        <w:rPr>
          <w:lang w:val="en-US"/>
        </w:rPr>
      </w:pPr>
      <w:r>
        <w:rPr>
          <w:lang w:val="en-US"/>
        </w:rPr>
      </w:r>
      <w:r/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63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ГОРОДА НОВОАЛТАЙСКА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  <w:r/>
          </w:p>
          <w:p>
            <w:pPr>
              <w:pStyle w:val="85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/>
          </w:p>
          <w:p>
            <w:pPr>
              <w:pStyle w:val="856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</w:r>
            <w:r/>
          </w:p>
          <w:p>
            <w:pPr>
              <w:pStyle w:val="858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ПОСТАНОВЛ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ЕНИЕ</w:t>
            </w:r>
            <w:r/>
          </w:p>
        </w:tc>
      </w:tr>
      <w:tr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25.06.20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№ 1402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8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/>
          </w:p>
        </w:tc>
      </w:tr>
    </w:tbl>
    <w:p>
      <w:pPr>
        <w:pStyle w:val="856"/>
        <w:ind w:firstLine="720"/>
        <w:jc w:val="both"/>
        <w:rPr>
          <w:sz w:val="28"/>
        </w:rPr>
      </w:pPr>
      <w:r>
        <w:rPr>
          <w:sz w:val="28"/>
        </w:rPr>
      </w:r>
      <w:r/>
    </w:p>
    <w:p>
      <w:pPr>
        <w:pStyle w:val="856"/>
        <w:ind w:firstLine="720"/>
        <w:jc w:val="both"/>
        <w:rPr>
          <w:sz w:val="28"/>
          <w:highlight w:val="none"/>
        </w:rPr>
      </w:pPr>
      <w:r>
        <w:rPr>
          <w:sz w:val="28"/>
        </w:rPr>
      </w:r>
      <w:r>
        <w:rPr>
          <w:sz w:val="28"/>
        </w:rPr>
      </w:r>
      <w:r/>
    </w:p>
    <w:p>
      <w:pPr>
        <w:pStyle w:val="856"/>
        <w:ind w:firstLine="720"/>
        <w:jc w:val="both"/>
        <w:rPr>
          <w:sz w:val="28"/>
        </w:rPr>
      </w:pPr>
      <w:r>
        <w:rPr>
          <w:sz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12382</wp:posOffset>
                </wp:positionH>
                <wp:positionV relativeFrom="paragraph">
                  <wp:posOffset>155592</wp:posOffset>
                </wp:positionV>
                <wp:extent cx="3048000" cy="943222"/>
                <wp:effectExtent l="6350" t="339725" r="6350" b="339725"/>
                <wp:wrapNone/>
                <wp:docPr id="3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AdjustHandles="0" noChangeArrowheads="0"/>
                      </wps:cNvSpPr>
                      <wps:spPr bwMode="auto">
                        <a:xfrm flipH="0" flipV="0">
                          <a:off x="0" y="0"/>
                          <a:ext cx="3047998" cy="9432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утверждении схемы водоснабжения и водоотведения города Новоалтайска Алтайского края на период 2024-2034 гг.</w:t>
                            </w:r>
                            <w:r/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524288;o:allowoverlap:true;o:allowincell:true;mso-position-horizontal-relative:text;margin-left:1.0pt;mso-position-horizontal:absolute;mso-position-vertical-relative:text;margin-top:12.3pt;mso-position-vertical:absolute;width:240.0pt;height:74.3pt;mso-wrap-distance-left:9.0pt;mso-wrap-distance-top:0.0pt;mso-wrap-distance-right:9.0pt;mso-wrap-distance-bottom:0.0pt;visibility:visible;" fillcolor="#FFFFFF" stroked="f">
                <v:textbox inset="0,0,0,0">
                  <w:txbxContent>
                    <w:p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Об утверждении схемы водоснабжения и водоотведения города Новоалтайска Алтайского края на период 2024-2034 гг.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highlight w:val="none"/>
        </w:rPr>
      </w:r>
      <w:r/>
    </w:p>
    <w:p>
      <w:pPr>
        <w:pStyle w:val="85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56"/>
        <w:ind w:firstLine="720"/>
        <w:jc w:val="both"/>
        <w:rPr>
          <w:sz w:val="28"/>
        </w:rPr>
      </w:pPr>
      <w:r>
        <w:rPr>
          <w:sz w:val="28"/>
        </w:rPr>
      </w:r>
      <w:r/>
    </w:p>
    <w:p>
      <w:pPr>
        <w:pStyle w:val="856"/>
        <w:ind w:firstLine="720"/>
        <w:jc w:val="both"/>
        <w:rPr>
          <w:sz w:val="28"/>
        </w:rPr>
      </w:pPr>
      <w:r>
        <w:rPr>
          <w:sz w:val="28"/>
        </w:rPr>
      </w:r>
      <w:r/>
    </w:p>
    <w:p>
      <w:pPr>
        <w:pStyle w:val="856"/>
        <w:rPr>
          <w:sz w:val="28"/>
          <w:szCs w:val="28"/>
        </w:rPr>
      </w:pPr>
      <w:r>
        <w:rPr>
          <w:sz w:val="28"/>
        </w:rPr>
      </w:r>
      <w:r>
        <w:rPr>
          <w:sz w:val="28"/>
        </w:rPr>
      </w:r>
      <w:r/>
    </w:p>
    <w:p>
      <w:pPr>
        <w:pStyle w:val="856"/>
        <w:rPr>
          <w:sz w:val="28"/>
          <w:szCs w:val="28"/>
        </w:rPr>
      </w:pPr>
      <w:r>
        <w:rPr>
          <w:sz w:val="28"/>
        </w:rPr>
      </w:r>
      <w:r>
        <w:rPr>
          <w:sz w:val="28"/>
        </w:rPr>
      </w:r>
      <w:r/>
    </w:p>
    <w:p>
      <w:pPr>
        <w:pStyle w:val="85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5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56"/>
        <w:ind w:left="0" w:right="0" w:firstLine="709"/>
        <w:jc w:val="both"/>
      </w:pPr>
      <w:r>
        <w:rPr>
          <w:sz w:val="28"/>
          <w:szCs w:val="28"/>
        </w:rPr>
        <w:t xml:space="preserve">В соответствии с Федеральным законом от 06.10.2003 № 131-ФЗ Об общих принципах </w:t>
      </w:r>
      <w:r>
        <w:rPr>
          <w:sz w:val="28"/>
          <w:szCs w:val="28"/>
        </w:rPr>
        <w:t xml:space="preserve">организации органов местного самоуправления в Российской Федерации» Федеральным законом от 07.11.2011 № 416-ФЗ «О водоснабжении и водоотведении», постановлением Правительства Российской Федерации от 05.09.2013 № 782 «О схемах водоснабжения и водоотведения»</w:t>
      </w:r>
      <w:r>
        <w:rPr>
          <w:sz w:val="28"/>
          <w:szCs w:val="28"/>
        </w:rPr>
        <w:t xml:space="preserve">, </w:t>
      </w:r>
      <w:r>
        <w:rPr>
          <w:spacing w:val="94"/>
          <w:sz w:val="28"/>
          <w:szCs w:val="28"/>
        </w:rPr>
        <w:t xml:space="preserve">постановляю</w:t>
      </w:r>
      <w:r>
        <w:rPr>
          <w:sz w:val="28"/>
          <w:szCs w:val="28"/>
        </w:rPr>
        <w:t xml:space="preserve">:</w:t>
      </w:r>
      <w:r/>
    </w:p>
    <w:p>
      <w:pPr>
        <w:ind w:firstLine="709"/>
        <w:jc w:val="both"/>
        <w:widowControl w:val="off"/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1. Утвердить схему водоснабжения города Новоалтайска Алтайского края на период </w:t>
      </w:r>
      <w:r>
        <w:rPr>
          <w:sz w:val="28"/>
          <w:szCs w:val="28"/>
        </w:rPr>
        <w:t xml:space="preserve">2024-2034 гг.</w:t>
      </w:r>
      <w:r>
        <w:rPr>
          <w:sz w:val="28"/>
          <w:szCs w:val="28"/>
        </w:rPr>
        <w:t xml:space="preserve"> согласно приложению № 1 к настоящему постановлению (Том 1. Схема водоснабжения).</w:t>
      </w:r>
      <w:r/>
    </w:p>
    <w:p>
      <w:pPr>
        <w:ind w:firstLine="709"/>
        <w:jc w:val="both"/>
      </w:pPr>
      <w:r>
        <w:rPr>
          <w:sz w:val="28"/>
          <w:szCs w:val="28"/>
        </w:rPr>
        <w:t xml:space="preserve">2.  </w:t>
      </w:r>
      <w:r>
        <w:rPr>
          <w:sz w:val="28"/>
          <w:szCs w:val="28"/>
        </w:rPr>
        <w:t xml:space="preserve">Утвердить схему водоотведения города Новоалтайска Алтайского края на период </w:t>
      </w:r>
      <w:r>
        <w:rPr>
          <w:sz w:val="28"/>
          <w:szCs w:val="28"/>
        </w:rPr>
        <w:t xml:space="preserve">2024-2034 гг.</w:t>
      </w:r>
      <w:r>
        <w:rPr>
          <w:sz w:val="28"/>
          <w:szCs w:val="28"/>
        </w:rPr>
        <w:t xml:space="preserve"> согласно приложению № 2 к настоящему постановлению</w:t>
      </w:r>
      <w:r>
        <w:rPr>
          <w:sz w:val="28"/>
          <w:szCs w:val="28"/>
        </w:rPr>
        <w:t xml:space="preserve"> (Том 2. Схема водоотведения).</w:t>
      </w:r>
      <w:r>
        <w:rPr>
          <w:sz w:val="28"/>
          <w:szCs w:val="28"/>
        </w:rPr>
      </w:r>
      <w:r/>
    </w:p>
    <w:p>
      <w:pPr>
        <w:ind w:firstLine="709"/>
        <w:jc w:val="both"/>
      </w:pPr>
      <w:r>
        <w:rPr>
          <w:sz w:val="28"/>
        </w:rPr>
        <w:t xml:space="preserve">3.  Опубликовать настоящее постановление в Вестнике муниципального образования город Новоалтайска и разместить на официальном сайте города Новоалтайска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novoaltaysk.gosuslugi.ru</w:t>
      </w:r>
      <w:r>
        <w:rPr>
          <w:sz w:val="28"/>
        </w:rPr>
        <w:t xml:space="preserve"> в сети Интернет.</w:t>
      </w:r>
      <w:r>
        <w:rPr>
          <w:sz w:val="28"/>
          <w:szCs w:val="28"/>
        </w:rPr>
      </w:r>
      <w:r/>
    </w:p>
    <w:p>
      <w:pPr>
        <w:ind w:firstLine="709"/>
        <w:jc w:val="both"/>
      </w:pPr>
      <w:r>
        <w:rPr>
          <w:sz w:val="28"/>
        </w:rPr>
        <w:t xml:space="preserve">4.  </w:t>
      </w:r>
      <w:r>
        <w:rPr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города С.И. Лисовского. </w:t>
      </w:r>
      <w:r>
        <w:rPr>
          <w:sz w:val="28"/>
          <w:szCs w:val="28"/>
        </w:rPr>
      </w:r>
      <w:r/>
    </w:p>
    <w:p>
      <w:pPr>
        <w:pStyle w:val="856"/>
        <w:ind w:left="0" w:right="0" w:firstLine="0"/>
        <w:jc w:val="both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  <w:r/>
    </w:p>
    <w:p>
      <w:pPr>
        <w:pStyle w:val="856"/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56"/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856"/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города                                                                                             В.Г. Бодунов</w:t>
      </w:r>
      <w:r>
        <w:rPr>
          <w:sz w:val="28"/>
          <w:szCs w:val="28"/>
        </w:rPr>
      </w:r>
      <w:r/>
    </w:p>
    <w:p>
      <w:pPr>
        <w:pStyle w:val="856"/>
        <w:rPr>
          <w:sz w:val="28"/>
        </w:rPr>
      </w:pPr>
      <w:r>
        <w:rPr>
          <w:sz w:val="28"/>
        </w:rPr>
      </w:r>
      <w:r/>
    </w:p>
    <w:p>
      <w:pPr>
        <w:pStyle w:val="856"/>
        <w:rPr>
          <w:sz w:val="28"/>
        </w:rPr>
      </w:pPr>
      <w:r>
        <w:rPr>
          <w:sz w:val="28"/>
        </w:rPr>
      </w:r>
      <w:r/>
    </w:p>
    <w:p>
      <w:pPr>
        <w:pStyle w:val="856"/>
        <w:rPr>
          <w:sz w:val="28"/>
          <w:szCs w:val="28"/>
        </w:rPr>
      </w:pPr>
      <w:r>
        <w:rPr>
          <w:sz w:val="28"/>
        </w:rPr>
      </w:r>
      <w:r/>
    </w:p>
    <w:p>
      <w:pPr>
        <w:pStyle w:val="856"/>
        <w:rPr>
          <w:sz w:val="28"/>
        </w:rPr>
      </w:pPr>
      <w:r>
        <w:rPr>
          <w:sz w:val="28"/>
        </w:rPr>
      </w:r>
      <w:r/>
    </w:p>
    <w:sectPr>
      <w:headerReference w:type="first" r:id="rId9"/>
      <w:footerReference w:type="default" r:id="rId10"/>
      <w:footnotePr/>
      <w:endnotePr/>
      <w:type w:val="continuous"/>
      <w:pgSz w:w="11907" w:h="16840" w:orient="portrait"/>
      <w:pgMar w:top="567" w:right="567" w:bottom="1134" w:left="1701" w:header="567" w:footer="737" w:gutter="0"/>
      <w:pgNumType w:start="24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6"/>
      <w:rPr>
        <w:b/>
        <w:sz w:val="28"/>
      </w:rPr>
    </w:pPr>
    <w:r>
      <w:rPr>
        <w:lang w:val="en-US"/>
      </w:rPr>
      <w:t xml:space="preserve">                                  </w:t>
    </w:r>
    <w:r>
      <w:rPr>
        <w:lang w:val="en-US"/>
      </w:rPr>
      <w:t xml:space="preserve">                                                 </w:t>
    </w: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24075" cy="724075"/>
              <wp:effectExtent l="0" t="0" r="0" b="0"/>
              <wp:docPr id="1" name="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" hidden="0"/>
                      <pic:cNvPicPr/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beve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pt;height:57.0pt;mso-wrap-distance-left:0.0pt;mso-wrap-distance-top:0.0pt;mso-wrap-distance-right:0.0pt;mso-wrap-distance-bottom:0.0pt;" stroked="f">
              <v:path textboxrect="0,0,0,0"/>
              <v:imagedata r:id="rId1" o:title=""/>
            </v:shape>
          </w:pict>
        </mc:Fallback>
      </mc:AlternateContent>
    </w:r>
    <w:r>
      <w:rPr>
        <w:b/>
        <w:sz w:val="28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6"/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6"/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679">
    <w:name w:val="Heading 1"/>
    <w:link w:val="6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0">
    <w:name w:val="Heading 1 Char"/>
    <w:link w:val="679"/>
    <w:uiPriority w:val="9"/>
    <w:rPr>
      <w:rFonts w:ascii="Arial" w:hAnsi="Arial" w:eastAsia="Arial" w:cs="Arial"/>
      <w:sz w:val="40"/>
      <w:szCs w:val="40"/>
    </w:rPr>
  </w:style>
  <w:style w:type="paragraph" w:styleId="681">
    <w:name w:val="Heading 2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2">
    <w:name w:val="Heading 2 Char"/>
    <w:link w:val="681"/>
    <w:uiPriority w:val="9"/>
    <w:rPr>
      <w:rFonts w:ascii="Arial" w:hAnsi="Arial" w:eastAsia="Arial" w:cs="Arial"/>
      <w:sz w:val="34"/>
    </w:rPr>
  </w:style>
  <w:style w:type="paragraph" w:styleId="683">
    <w:name w:val="Heading 3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4">
    <w:name w:val="Heading 3 Char"/>
    <w:link w:val="683"/>
    <w:uiPriority w:val="9"/>
    <w:rPr>
      <w:rFonts w:ascii="Arial" w:hAnsi="Arial" w:eastAsia="Arial" w:cs="Arial"/>
      <w:sz w:val="30"/>
      <w:szCs w:val="30"/>
    </w:rPr>
  </w:style>
  <w:style w:type="paragraph" w:styleId="685">
    <w:name w:val="Heading 4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List Paragraph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link w:val="706"/>
    <w:uiPriority w:val="30"/>
    <w:qFormat/>
    <w:pPr>
      <w:contextualSpacing w:val="0"/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711"/>
    <w:link w:val="709"/>
    <w:uiPriority w:val="99"/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D"/>
      </w:tcPr>
    </w:tblStylePr>
    <w:tblStylePr w:type="band1Vert">
      <w:tcPr>
        <w:shd w:val="clear" w:color="ffffff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text1" w:themeFillTint="40"/>
    </w:tblPr>
    <w:tblStylePr w:type="band1Horz">
      <w:tcPr>
        <w:shd w:val="clear" w:color="ffffff" w:fill="ffffff" w:themeFill="text1" w:themeFillTint="75"/>
      </w:tcPr>
    </w:tblStylePr>
    <w:tblStylePr w:type="band1Vert">
      <w:tcPr>
        <w:shd w:val="clear" w:color="ffffff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1" w:themeFillTint="34"/>
    </w:tblPr>
    <w:tblStylePr w:type="band1Horz">
      <w:tcPr>
        <w:shd w:val="clear" w:color="ffffff" w:fill="ffffff" w:themeFill="accent1" w:themeFillTint="75"/>
      </w:tcPr>
    </w:tblStylePr>
    <w:tblStylePr w:type="band1Vert">
      <w:tcPr>
        <w:shd w:val="clear" w:color="ffffff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2" w:themeFillTint="32"/>
    </w:tblPr>
    <w:tblStylePr w:type="band1Horz">
      <w:tcPr>
        <w:shd w:val="clear" w:color="ffffff" w:fill="ffffff" w:themeFill="accent2" w:themeFillTint="75"/>
      </w:tcPr>
    </w:tblStylePr>
    <w:tblStylePr w:type="band1Vert">
      <w:tcPr>
        <w:shd w:val="clear" w:color="ffffff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3" w:themeFillTint="34"/>
    </w:tblPr>
    <w:tblStylePr w:type="band1Horz">
      <w:tcPr>
        <w:shd w:val="clear" w:color="ffffff" w:fill="ffffff" w:themeFill="accent3" w:themeFillTint="75"/>
      </w:tcPr>
    </w:tblStylePr>
    <w:tblStylePr w:type="band1Vert">
      <w:tcPr>
        <w:shd w:val="clear" w:color="ffffff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4" w:themeFillTint="34"/>
    </w:tblPr>
    <w:tblStylePr w:type="band1Horz">
      <w:tcPr>
        <w:shd w:val="clear" w:color="ffffff" w:fill="ffffff" w:themeFill="accent4" w:themeFillTint="75"/>
      </w:tcPr>
    </w:tblStylePr>
    <w:tblStylePr w:type="band1Vert">
      <w:tcPr>
        <w:shd w:val="clear" w:color="ffffff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5" w:themeFillTint="34"/>
    </w:tblPr>
    <w:tblStylePr w:type="band1Horz">
      <w:tcPr>
        <w:shd w:val="clear" w:color="ffffff" w:fill="ffffff" w:themeFill="accent5" w:themeFillTint="75"/>
      </w:tcPr>
    </w:tblStylePr>
    <w:tblStylePr w:type="band1Vert">
      <w:tcPr>
        <w:shd w:val="clear" w:color="ffffff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6" w:themeFillTint="34"/>
    </w:tblPr>
    <w:tblStylePr w:type="band1Horz">
      <w:tcPr>
        <w:shd w:val="clear" w:color="ffffff" w:fill="ffffff" w:themeFill="accent6" w:themeFillTint="75"/>
      </w:tcPr>
    </w:tblStylePr>
    <w:tblStylePr w:type="band1Vert">
      <w:tcPr>
        <w:shd w:val="clear" w:color="ffffff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 w:themeFill="text1" w:themeFillTint="34"/>
      </w:tcPr>
    </w:tblStylePr>
    <w:tblStylePr w:type="band1Vert">
      <w:tcPr>
        <w:shd w:val="clear" w:color="ffffff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 w:themeFill="accent1" w:themeFillTint="34"/>
      </w:tcPr>
    </w:tblStylePr>
    <w:tblStylePr w:type="band1Vert">
      <w:tcPr>
        <w:shd w:val="clear" w:color="ffffff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 w:themeFill="accent2" w:themeFillTint="32"/>
      </w:tcPr>
    </w:tblStylePr>
    <w:tblStylePr w:type="band1Vert">
      <w:tcPr>
        <w:shd w:val="clear" w:color="ffffff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 w:themeFill="accent3" w:themeFillTint="34"/>
      </w:tcPr>
    </w:tblStylePr>
    <w:tblStylePr w:type="band1Vert">
      <w:tcPr>
        <w:shd w:val="clear" w:color="ffffff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 w:themeFill="accent4" w:themeFillTint="34"/>
      </w:tcPr>
    </w:tblStylePr>
    <w:tblStylePr w:type="band1Vert">
      <w:tcPr>
        <w:shd w:val="clear" w:color="ffffff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 w:themeFill="accent5" w:themeFillTint="34"/>
      </w:tcPr>
    </w:tblStylePr>
    <w:tblStylePr w:type="band1Vert">
      <w:tcPr>
        <w:shd w:val="clear" w:color="ffffff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 w:themeFill="accent6" w:themeFillTint="34"/>
      </w:tcPr>
    </w:tblStylePr>
    <w:tblStylePr w:type="band1Vert">
      <w:tcPr>
        <w:shd w:val="clear" w:color="ffffff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 w:themeFill="text1" w:themeFillTint="0D"/>
      </w:tcPr>
    </w:tblStylePr>
    <w:tblStylePr w:type="band1Vert">
      <w:tcPr>
        <w:shd w:val="clear" w:color="ffffff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fill="ffffff" w:themeFill="accent1" w:themeFillTint="34"/>
      </w:tcPr>
    </w:tblStylePr>
    <w:tblStylePr w:type="band1Vert">
      <w:tcPr>
        <w:shd w:val="clear" w:color="ffffff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 w:themeFill="accent2" w:themeFillTint="32"/>
      </w:tcPr>
    </w:tblStylePr>
    <w:tblStylePr w:type="band1Vert">
      <w:tcPr>
        <w:shd w:val="clear" w:color="ffffff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fill="ffffff" w:themeFill="accent3" w:themeFillTint="34"/>
      </w:tcPr>
    </w:tblStylePr>
    <w:tblStylePr w:type="band1Vert">
      <w:tcPr>
        <w:shd w:val="clear" w:color="ffffff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 w:themeFill="accent4" w:themeFillTint="34"/>
      </w:tcPr>
    </w:tblStylePr>
    <w:tblStylePr w:type="band1Vert">
      <w:tcPr>
        <w:shd w:val="clear" w:color="ffffff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fill="ffffff" w:themeFill="accent5" w:themeFillTint="34"/>
      </w:tcPr>
    </w:tblStylePr>
    <w:tblStylePr w:type="band1Vert">
      <w:tcPr>
        <w:shd w:val="clear" w:color="ffffff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fill="ffffff" w:themeFill="accent6" w:themeFillTint="34"/>
      </w:tcPr>
    </w:tblStylePr>
    <w:tblStylePr w:type="band1Vert">
      <w:tcPr>
        <w:shd w:val="clear" w:color="ffffff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 w:themeFill="text1" w:themeFillTint="80"/>
    </w:tblPr>
    <w:tblStylePr w:type="band1Horz"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 w:themeFill="accent1"/>
    </w:tblPr>
    <w:tblStylePr w:type="band1Horz"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 w:themeFill="accent2" w:themeFillTint="97"/>
    </w:tblPr>
    <w:tblStylePr w:type="band1Horz"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 w:themeFill="accent3" w:themeFillTint="98"/>
    </w:tblPr>
    <w:tblStylePr w:type="band1Horz"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 w:themeFill="accent4" w:themeFillTint="9A"/>
    </w:tblPr>
    <w:tblStylePr w:type="band1Horz"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 w:themeFill="accent5" w:themeFillTint="9A"/>
    </w:tblPr>
    <w:tblStylePr w:type="band1Horz"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 w:themeFill="accent6" w:themeFillTint="98"/>
    </w:tblPr>
    <w:tblStylePr w:type="band1Horz"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uiPriority w:val="39"/>
    <w:unhideWhenUsed/>
    <w:pPr>
      <w:ind w:left="0" w:right="0" w:firstLine="0"/>
      <w:spacing w:after="57"/>
    </w:pPr>
  </w:style>
  <w:style w:type="paragraph" w:styleId="847">
    <w:name w:val="toc 2"/>
    <w:uiPriority w:val="39"/>
    <w:unhideWhenUsed/>
    <w:pPr>
      <w:ind w:left="283" w:right="0" w:firstLine="0"/>
      <w:spacing w:after="57"/>
    </w:pPr>
  </w:style>
  <w:style w:type="paragraph" w:styleId="848">
    <w:name w:val="toc 3"/>
    <w:uiPriority w:val="39"/>
    <w:unhideWhenUsed/>
    <w:pPr>
      <w:ind w:left="567" w:right="0" w:firstLine="0"/>
      <w:spacing w:after="57"/>
    </w:pPr>
  </w:style>
  <w:style w:type="paragraph" w:styleId="849">
    <w:name w:val="toc 4"/>
    <w:uiPriority w:val="39"/>
    <w:unhideWhenUsed/>
    <w:pPr>
      <w:ind w:left="850" w:right="0" w:firstLine="0"/>
      <w:spacing w:after="57"/>
    </w:pPr>
  </w:style>
  <w:style w:type="paragraph" w:styleId="850">
    <w:name w:val="toc 5"/>
    <w:uiPriority w:val="39"/>
    <w:unhideWhenUsed/>
    <w:pPr>
      <w:ind w:left="1134" w:right="0" w:firstLine="0"/>
      <w:spacing w:after="57"/>
    </w:pPr>
  </w:style>
  <w:style w:type="paragraph" w:styleId="851">
    <w:name w:val="toc 6"/>
    <w:uiPriority w:val="39"/>
    <w:unhideWhenUsed/>
    <w:pPr>
      <w:ind w:left="1417" w:right="0" w:firstLine="0"/>
      <w:spacing w:after="57"/>
    </w:pPr>
  </w:style>
  <w:style w:type="paragraph" w:styleId="852">
    <w:name w:val="toc 7"/>
    <w:uiPriority w:val="39"/>
    <w:unhideWhenUsed/>
    <w:pPr>
      <w:ind w:left="1701" w:right="0" w:firstLine="0"/>
      <w:spacing w:after="57"/>
    </w:pPr>
  </w:style>
  <w:style w:type="paragraph" w:styleId="853">
    <w:name w:val="toc 8"/>
    <w:uiPriority w:val="39"/>
    <w:unhideWhenUsed/>
    <w:pPr>
      <w:ind w:left="1984" w:right="0" w:firstLine="0"/>
      <w:spacing w:after="57"/>
    </w:pPr>
  </w:style>
  <w:style w:type="paragraph" w:styleId="854">
    <w:name w:val="toc 9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Обычный"/>
    <w:next w:val="856"/>
    <w:link w:val="856"/>
    <w:rPr>
      <w:lang w:val="ru-RU" w:eastAsia="ru-RU" w:bidi="ar-SA"/>
    </w:rPr>
  </w:style>
  <w:style w:type="paragraph" w:styleId="857">
    <w:name w:val="Заголовок 1"/>
    <w:basedOn w:val="856"/>
    <w:next w:val="856"/>
    <w:link w:val="856"/>
    <w:pPr>
      <w:ind w:left="703"/>
      <w:keepNext/>
      <w:outlineLvl w:val="0"/>
    </w:pPr>
    <w:rPr>
      <w:rFonts w:ascii="Arial" w:hAnsi="Arial"/>
      <w:b/>
      <w:spacing w:val="28"/>
      <w:sz w:val="24"/>
    </w:rPr>
  </w:style>
  <w:style w:type="paragraph" w:styleId="858">
    <w:name w:val="Заголовок 2"/>
    <w:basedOn w:val="856"/>
    <w:next w:val="856"/>
    <w:link w:val="856"/>
    <w:pPr>
      <w:jc w:val="center"/>
      <w:keepNext/>
      <w:outlineLvl w:val="1"/>
    </w:pPr>
    <w:rPr>
      <w:rFonts w:ascii="Times New Roman" w:hAnsi="Times New Roman"/>
      <w:sz w:val="28"/>
    </w:rPr>
  </w:style>
  <w:style w:type="paragraph" w:styleId="859">
    <w:name w:val="Заголовок 3"/>
    <w:basedOn w:val="856"/>
    <w:next w:val="856"/>
    <w:link w:val="856"/>
    <w:pPr>
      <w:keepNext/>
      <w:spacing w:line="240" w:lineRule="exact"/>
      <w:tabs>
        <w:tab w:val="left" w:pos="4927" w:leader="none"/>
        <w:tab w:val="left" w:pos="9854" w:leader="none"/>
      </w:tabs>
      <w:outlineLvl w:val="2"/>
    </w:pPr>
    <w:rPr>
      <w:rFonts w:ascii="Times New Roman" w:hAnsi="Times New Roman"/>
      <w:b/>
      <w:sz w:val="28"/>
    </w:rPr>
  </w:style>
  <w:style w:type="paragraph" w:styleId="860">
    <w:name w:val="Заголовок 4"/>
    <w:basedOn w:val="856"/>
    <w:next w:val="856"/>
    <w:link w:val="856"/>
    <w:pPr>
      <w:keepNext/>
      <w:spacing w:line="240" w:lineRule="exact"/>
      <w:outlineLvl w:val="3"/>
    </w:pPr>
    <w:rPr>
      <w:sz w:val="28"/>
    </w:rPr>
  </w:style>
  <w:style w:type="paragraph" w:styleId="861">
    <w:name w:val="Заголовок 5"/>
    <w:basedOn w:val="856"/>
    <w:next w:val="856"/>
    <w:link w:val="856"/>
    <w:pPr>
      <w:keepNext/>
      <w:spacing w:line="240" w:lineRule="exact"/>
      <w:outlineLvl w:val="4"/>
    </w:pPr>
    <w:rPr>
      <w:sz w:val="24"/>
    </w:rPr>
  </w:style>
  <w:style w:type="paragraph" w:styleId="862">
    <w:name w:val="Заголовок 6"/>
    <w:basedOn w:val="856"/>
    <w:next w:val="856"/>
    <w:link w:val="856"/>
    <w:pPr>
      <w:jc w:val="both"/>
      <w:keepNext/>
      <w:spacing w:before="240" w:line="240" w:lineRule="exact"/>
      <w:outlineLvl w:val="5"/>
    </w:pPr>
    <w:rPr>
      <w:sz w:val="28"/>
    </w:rPr>
  </w:style>
  <w:style w:type="paragraph" w:styleId="863">
    <w:name w:val="Заголовок 7"/>
    <w:basedOn w:val="856"/>
    <w:next w:val="856"/>
    <w:link w:val="856"/>
    <w:pPr>
      <w:jc w:val="center"/>
      <w:keepNext/>
      <w:spacing w:after="120"/>
      <w:outlineLvl w:val="6"/>
    </w:pPr>
    <w:rPr>
      <w:rFonts w:ascii="Arial" w:hAnsi="Arial"/>
      <w:b/>
      <w:sz w:val="24"/>
    </w:rPr>
  </w:style>
  <w:style w:type="paragraph" w:styleId="864">
    <w:name w:val="Заголовок 8"/>
    <w:basedOn w:val="856"/>
    <w:next w:val="856"/>
    <w:link w:val="856"/>
    <w:pPr>
      <w:ind w:firstLine="142"/>
      <w:jc w:val="center"/>
      <w:keepNext/>
      <w:spacing w:before="240" w:line="240" w:lineRule="exact"/>
      <w:outlineLvl w:val="7"/>
    </w:pPr>
    <w:rPr>
      <w:smallCaps/>
      <w:sz w:val="28"/>
    </w:rPr>
  </w:style>
  <w:style w:type="paragraph" w:styleId="865">
    <w:name w:val="Заголовок 9"/>
    <w:basedOn w:val="856"/>
    <w:next w:val="856"/>
    <w:link w:val="856"/>
    <w:pPr>
      <w:jc w:val="right"/>
      <w:keepNext/>
      <w:outlineLvl w:val="8"/>
    </w:pPr>
    <w:rPr>
      <w:sz w:val="28"/>
      <w:lang w:eastAsia="ru-RU"/>
    </w:rPr>
  </w:style>
  <w:style w:type="character" w:styleId="866">
    <w:name w:val="Основной шрифт абзаца"/>
    <w:next w:val="866"/>
    <w:link w:val="856"/>
    <w:semiHidden/>
  </w:style>
  <w:style w:type="table" w:styleId="867">
    <w:name w:val="Обычная таблица"/>
    <w:next w:val="867"/>
    <w:link w:val="856"/>
    <w:semiHidden/>
    <w:tblPr/>
  </w:style>
  <w:style w:type="numbering" w:styleId="868">
    <w:name w:val="Нет списка"/>
    <w:next w:val="868"/>
    <w:link w:val="856"/>
    <w:semiHidden/>
  </w:style>
  <w:style w:type="paragraph" w:styleId="869">
    <w:name w:val="Верхний колонтитул"/>
    <w:basedOn w:val="856"/>
    <w:next w:val="869"/>
    <w:link w:val="856"/>
    <w:pPr>
      <w:tabs>
        <w:tab w:val="center" w:pos="4153" w:leader="none"/>
        <w:tab w:val="right" w:pos="8306" w:leader="none"/>
      </w:tabs>
    </w:pPr>
  </w:style>
  <w:style w:type="paragraph" w:styleId="870">
    <w:name w:val="Нижний колонтитул"/>
    <w:basedOn w:val="856"/>
    <w:next w:val="870"/>
    <w:link w:val="856"/>
    <w:pPr>
      <w:tabs>
        <w:tab w:val="center" w:pos="4153" w:leader="none"/>
        <w:tab w:val="right" w:pos="8306" w:leader="none"/>
      </w:tabs>
    </w:pPr>
  </w:style>
  <w:style w:type="character" w:styleId="871">
    <w:name w:val="Номер страницы"/>
    <w:basedOn w:val="866"/>
    <w:next w:val="871"/>
    <w:link w:val="856"/>
  </w:style>
  <w:style w:type="paragraph" w:styleId="872">
    <w:name w:val="Основной текст с отступом"/>
    <w:basedOn w:val="856"/>
    <w:next w:val="872"/>
    <w:link w:val="856"/>
    <w:pPr>
      <w:ind w:firstLine="720"/>
      <w:jc w:val="both"/>
      <w:spacing w:line="360" w:lineRule="auto"/>
    </w:pPr>
    <w:rPr>
      <w:sz w:val="28"/>
    </w:rPr>
  </w:style>
  <w:style w:type="paragraph" w:styleId="873">
    <w:name w:val="Основной текст"/>
    <w:basedOn w:val="856"/>
    <w:next w:val="873"/>
    <w:link w:val="856"/>
    <w:pPr>
      <w:jc w:val="both"/>
      <w:spacing w:line="240" w:lineRule="exact"/>
    </w:pPr>
    <w:rPr>
      <w:sz w:val="28"/>
    </w:rPr>
  </w:style>
  <w:style w:type="paragraph" w:styleId="874">
    <w:name w:val="Основной текст 2"/>
    <w:basedOn w:val="856"/>
    <w:next w:val="874"/>
    <w:link w:val="856"/>
    <w:pPr>
      <w:spacing w:line="240" w:lineRule="exact"/>
    </w:pPr>
    <w:rPr>
      <w:sz w:val="28"/>
      <w:lang w:val="en-US"/>
    </w:rPr>
  </w:style>
  <w:style w:type="paragraph" w:styleId="875">
    <w:name w:val="Название объекта"/>
    <w:basedOn w:val="856"/>
    <w:next w:val="856"/>
    <w:link w:val="856"/>
    <w:pPr>
      <w:jc w:val="center"/>
      <w:spacing w:before="240"/>
    </w:pPr>
    <w:rPr>
      <w:smallCaps/>
      <w:spacing w:val="40"/>
      <w:sz w:val="28"/>
    </w:rPr>
  </w:style>
  <w:style w:type="paragraph" w:styleId="876">
    <w:name w:val="Схема документа"/>
    <w:basedOn w:val="856"/>
    <w:next w:val="876"/>
    <w:link w:val="856"/>
    <w:semiHidden/>
    <w:pPr>
      <w:shd w:val="clear" w:color="000080" w:fill="000080"/>
    </w:pPr>
    <w:rPr>
      <w:rFonts w:ascii="Tahoma" w:hAnsi="Tahoma"/>
    </w:rPr>
  </w:style>
  <w:style w:type="paragraph" w:styleId="877">
    <w:name w:val="Текст выноски"/>
    <w:basedOn w:val="856"/>
    <w:next w:val="877"/>
    <w:link w:val="856"/>
    <w:semiHidden/>
    <w:rPr>
      <w:rFonts w:ascii="Tahoma" w:hAnsi="Tahoma"/>
      <w:sz w:val="16"/>
      <w:szCs w:val="16"/>
    </w:rPr>
  </w:style>
  <w:style w:type="character" w:styleId="878" w:default="1">
    <w:name w:val="Default Paragraph Font"/>
    <w:uiPriority w:val="1"/>
    <w:semiHidden/>
    <w:unhideWhenUsed/>
  </w:style>
  <w:style w:type="numbering" w:styleId="879" w:default="1">
    <w:name w:val="No List"/>
    <w:uiPriority w:val="99"/>
    <w:semiHidden/>
    <w:unhideWhenUsed/>
  </w:style>
  <w:style w:type="paragraph" w:styleId="880" w:default="1">
    <w:name w:val="Normal"/>
    <w:qFormat/>
  </w:style>
  <w:style w:type="table" w:styleId="881" w:default="1">
    <w:name w:val="Normal Table"/>
    <w:uiPriority w:val="99"/>
    <w:semiHidden/>
    <w:unhideWhenUsed/>
    <w:tblPr/>
  </w:style>
  <w:style w:type="character" w:styleId="882">
    <w:name w:val="Гиперссылка"/>
    <w:basedOn w:val="834"/>
    <w:next w:val="843"/>
    <w:link w:val="830"/>
    <w:rPr>
      <w:color w:val="0000ff"/>
      <w:u w:val="single"/>
    </w:rPr>
  </w:style>
  <w:style w:type="table" w:styleId="883">
    <w:name w:val="Сетка таблицы"/>
    <w:basedOn w:val="835"/>
    <w:next w:val="842"/>
    <w:link w:val="83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 w:fill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" w:type="dxa"/>
        <w:top w:w="0" w:type="dxa"/>
        <w:right w:w="1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13</cp:revision>
  <dcterms:modified xsi:type="dcterms:W3CDTF">2024-07-10T09:16:56Z</dcterms:modified>
</cp:coreProperties>
</file>